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501-ФЗ)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значений, установленных законодательством Российской Федерации или превышающих их (аффинаж), юридическими лицами, не включенными в утвержденный Правительством Российской Федерации перечень , индивидуальными предпринимателями или гражданами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второй до полуторакратного размера стоимости драгоценных металлов, явившихся предметом административного правонарушения, с их конфискацией; на индивидуальных предпринимателей - от двукратного до трехкратного размера стоимости драгоценных металлов, явившихся предметом административного правонарушения, с их конфискацией; на юридических лиц - от трехкратного до четырехкратного размера стоимости драгоценных металлов, явившихся предметом административного правонарушения, с их конфискацией.</w:t>
      </w:r>
    </w:p>
    <w:p>
      <w:pPr>
        <w:spacing w:after="120"/>
        <w:ind w:firstLine="709"/>
      </w:pPr>
      <w:r>
        <w:rPr>
          <w:sz w:val="24"/>
        </w:rPr>
        <w:t xml:space="preserve">2. Сбыт незаконно аффинированных драгоценных металлов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правонарушения; на индивидуальных предпринимателей - от ста восьмидесяти тысяч до двухсот десяти тысяч рублей с конфискацией предмета административного правонарушения; на юридических лиц - от двухсот десяти тысяч до двухсот сорока тысяч рублей с конфискацией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Перемещение (в том числе перевозка или пересылка) либо хранение незаконно аффинированных драгоценных металлов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правонарушения; на индивидуальных предпринимателей - от двухсот тысяч до двухсот тридцати тысяч рублей с конфискацией предмета административного правонарушения; на юридических лиц - от двухсот пятидесяти тысяч до двухсот восьмидесяти тысяч рублей с конфискацией предмета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15.45</dc:title>
  <dc:creator>АРБИТРАЖ! · arbi.ru</dc:creator>
  <cp:lastModifiedBy>АРБИТРАЖ!</cp:lastModifiedBy>
  <dcterms:created xsi:type="dcterms:W3CDTF">2026-10-22T21:10:30.315Z</dcterms:created>
</cp:coreProperties>
</file>