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15.46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27.12.2019 N 501-ФЗ)</w:t>
      </w:r>
    </w:p>
    <w:p>
      <w:pPr>
        <w:spacing w:after="120"/>
        <w:ind w:firstLine="709"/>
      </w:pPr>
      <w:r>
        <w:rPr>
          <w:sz w:val="24"/>
        </w:rPr>
        <w:t xml:space="preserve">1. Действия, выражающиеся в переходе права собственности и иных имущественных прав на драгоценные металлы, драгоценные камни и продукцию из них, в том числе их использование в качестве залога, с нарушением установленных законодательством обязательных требований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восьмидесяти тысяч до ста тысяч рублей; на индивидуальных предпринимателей - от ста двадцати тысяч до ста сорока тысяч рублей; на юридических лиц - от ста шестидесяти тысяч до ста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обязательных требований при перевозке драгоценных металлов, драгоценных камней и продукции из них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в размере от пятидесяти тысяч до семидесяти тысяч рублей; на юридических лиц - от семидесяти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15.46</dc:title>
  <dc:creator>АРБИТРАЖ! · arbi.ru</dc:creator>
  <cp:lastModifiedBy>АРБИТРАЖ!</cp:lastModifiedBy>
  <dcterms:created xsi:type="dcterms:W3CDTF">2026-10-22T12:38:57.748Z</dcterms:created>
</cp:coreProperties>
</file>