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15.47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27.12.2019 N 501-ФЗ)</w:t>
      </w:r>
    </w:p>
    <w:p>
      <w:pPr>
        <w:spacing w:after="120"/>
        <w:ind w:firstLine="709"/>
      </w:pPr>
      <w:r>
        <w:rPr>
          <w:sz w:val="24"/>
        </w:rPr>
        <w:t xml:space="preserve">1. Нарушение правил учета драгоценных металлов, драгоценных камней и продукции из них, непредставление отчетности по установленным законодательством формам о движении драгоценных металлов и драгоценных камней в любом виде, состоянии либо представление отчетности, содержащей недостоверные сведения о фактическом расходе драгоценных металлов и драгоценных камней, или непредставление информации, предусмотренной законодательством Российской Федерации о драгоценных металлах и драгоценных камнях, в государственную интегрированную информационную систему в сфере контроля за оборотом драгоценных металлов, драгоценных камней и изделий из них на всех этапах этого оборота в порядке, установленном законодательством Российской Федерации о драгоценных металлах и драгоценных камнях,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пятидесяти тысяч рублей; на индивидуальных предпринимателей - от тридцати тысяч до шестидесяти тысяч рублей; на юридических лиц - от пятидесяти тысяч до восьмидесяти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1.1. Повторное совершение административного правонарушения, предусмотренного частью 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пятидесяти тысяч до семидесяти тысяч рублей; на индивидуальных предпринимателей - от шестидесяти тысяч до ста тысяч рублей; на юридических лиц - от ста тысяч до ста двадцати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28.11.2025 N 448-ФЗ)</w:t>
      </w:r>
    </w:p>
    <w:p>
      <w:pPr>
        <w:spacing w:after="120"/>
        <w:ind w:firstLine="709"/>
      </w:pPr>
      <w:r>
        <w:rPr>
          <w:sz w:val="24"/>
        </w:rPr>
        <w:t xml:space="preserve">2. Нарушение правил хранения и инвентаризации драгоценных металлов, драгоценных камней и продукции из них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сорока тысяч до семидесяти тысяч рублей; на индивидуальных предпринимателей - от пятидесяти тысяч до восьмидесяти тысяч рублей; на юридических лиц - от восьмидесяти тысяч до ста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15.47</dc:title>
  <dc:creator>АРБИТРАЖ! · arbi.ru</dc:creator>
  <cp:lastModifiedBy>АРБИТРАЖ!</cp:lastModifiedBy>
  <dcterms:created xsi:type="dcterms:W3CDTF">2026-10-22T22:45:04.407Z</dcterms:created>
</cp:coreProperties>
</file>