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15.49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28.12.2025 N 506-ФЗ)</w:t>
      </w:r>
    </w:p>
    <w:p>
      <w:pPr>
        <w:spacing w:after="120"/>
        <w:ind w:firstLine="709"/>
      </w:pPr>
      <w:r>
        <w:rPr>
          <w:sz w:val="24"/>
        </w:rPr>
        <w:t xml:space="preserve">Нарушение при казначейском сопровождении государственным (муниципальным) заказчиком, получателем бюджетных средств, заказчиком установленного срока утверждения сведений об операциях со средствами, подлежащими казначейскому сопровождению,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1 до 5 процентов цены государственного (муниципального) контракта, договора (соглашения), контракта (договора), но не более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15.49</dc:title>
  <dc:creator>АРБИТРАЖ! · arbi.ru</dc:creator>
  <cp:lastModifiedBy>АРБИТРАЖ!</cp:lastModifiedBy>
  <dcterms:created xsi:type="dcterms:W3CDTF">2026-10-23T01:07:38.541Z</dcterms:created>
</cp:coreProperties>
</file>