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16.5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режима зоны таможенного контроля</w:t>
      </w:r>
    </w:p>
    <w:p>
      <w:pPr>
        <w:spacing w:after="120"/>
        <w:ind w:firstLine="709"/>
      </w:pPr>
      <w:r>
        <w:rPr>
          <w:sz w:val="24"/>
        </w:rPr>
        <w:t xml:space="preserve">Перемещение товаров и (или) транспортных средств либо лиц, включая должностных лиц государственных органов, за исключением должностных лиц таможенных органов,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органа, если такое разрешение обязательно,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16.5</dc:title>
  <dc:creator>АРБИТРАЖ! · arbi.ru</dc:creator>
  <cp:lastModifiedBy>АРБИТРАЖ!</cp:lastModifiedBy>
  <dcterms:created xsi:type="dcterms:W3CDTF">2026-10-22T11:37:12.661Z</dcterms:created>
</cp:coreProperties>
</file>