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16.16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Административные правонарушения в области таможенного дела (нарушение таможенных правил)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16.16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нарушение сроков временного хранения товаров</w:t>
      </w:r>
    </w:p>
    <w:p>
      <w:pPr>
        <w:spacing w:after="120"/>
        <w:ind w:firstLine="709"/>
      </w:pPr>
      <w:r>
        <w:rPr>
          <w:sz w:val="24"/>
        </w:rPr>
        <w:t xml:space="preserve">Нарушение сроков временного хранения товаров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пятисот до двух тысяч пятисот рублей с конфискацией товаров, явившихся предметами административного правонарушения, или без таковой; на должностных лиц - от десяти тысяч до двадцати тысяч рублей; на юридических лиц - от пятидесяти тысяч до ста тысяч рублей с конфискацией товаров, явившихся предметами административного правонарушения,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16.16</dc:title>
  <dc:creator>АРБИТРАЖ! · arbi.ru</dc:creator>
  <cp:lastModifiedBy>АРБИТРАЖ!</cp:lastModifiedBy>
  <dcterms:created xsi:type="dcterms:W3CDTF">2026-10-23T11:26:38.359Z</dcterms:created>
</cp:coreProperties>
</file>