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16.19 КоАП РФ</w:t>
      </w:r>
    </w:p>
    <w:p>
      <w:pPr>
        <w:spacing w:after="120"/>
        <w:ind w:firstLine="709"/>
      </w:pPr>
      <w:r>
        <w:rPr>
          <w:sz w:val="24"/>
        </w:rPr>
        <w:t xml:space="preserve">- Декларант оспаривает привлечение к ответственности за незавершение таможенной процедуры в установленные сроки</w:t>
      </w:r>
    </w:p>
    <w:p>
      <w:pPr>
        <w:spacing w:after="120"/>
        <w:ind w:firstLine="709"/>
      </w:pPr>
      <w:r>
        <w:rPr>
          <w:sz w:val="24"/>
        </w:rPr>
        <w:t xml:space="preserve">1. Заявление в декларации на товары недостоверных сведений о них либо представление недействительных документов , если такие сведения и документы могли послужить основанием для помещения товаров под таможенную процедуру, предусматривающую полное или частичное освобождение от уплаты таможенных пошлин, налогов либо возврат уплаченных сумм и (или) неприменение мер нетарифного регулирования, за исключением случаев, предусмотренных частью 3 статьи 16.1 , частями 2 и 3 статьи 16.2 , статьей 16.17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правонарушения; на должностных лиц - от пяти тысяч до двадцати тысяч рублей; на юридических лиц - от ста тысяч до пятисот тысяч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Пользование или распоряжение товарами в нарушение таможенной процедуры, под которую они помещены, в том числе передача права использования таможенной процедуры посредством передачи в отношении товаров прав владения, пользования или распоряжения, если это допускается в соответствии с таможенной процедурой, другому лицу без разрешения таможенного органа, если такое разрешение обязательно,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правонарушения; на должностных лиц - от десяти тысяч до двадцати тысяч рублей; на юридических лиц - от одной второй до двукратного размера стоимости товаров, явившихся предметами административного правонарушения, с их конфискацией или без таковой либо конфискацию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Незавершение в установленные сроки таможенной процедуры, в отношении которой установлено требование о ее завершении,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двух тысяч рублей; на должностных лиц - от десяти тысяч до двадцати тысяч рублей; на юридических лиц - от пятидесяти тысяч до трехсот тысяч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16.19</dc:title>
  <dc:creator>АРБИТРАЖ! · arbi.ru</dc:creator>
  <cp:lastModifiedBy>АРБИТРАЖ!</cp:lastModifiedBy>
  <dcterms:created xsi:type="dcterms:W3CDTF">2026-10-22T21:10:38.862Z</dcterms:created>
</cp:coreProperties>
</file>