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03.12.2011 N 378-ФЗ)</w:t>
      </w:r>
    </w:p>
    <w:p>
      <w:pPr>
        <w:spacing w:after="120"/>
        <w:ind w:firstLine="709"/>
      </w:pPr>
      <w:r>
        <w:rPr>
          <w:sz w:val="24"/>
        </w:rPr>
        <w:t xml:space="preserve">1. Вмешательство в деятельность Уполномоченного при Президенте Российской Федерации по правам ребенка с целью повлиять на его решение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должностными лицами законных требований Уполномоченного при Президенте Российской Федерации по правам ребенка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3. Воспрепятствование деятельности Уполномоченного при Президенте Российской Федерации по правам ребенка в иной форме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17.2.1</dc:title>
  <dc:creator>АРБИТРАЖ! · arbi.ru</dc:creator>
  <cp:lastModifiedBy>АРБИТРАЖ!</cp:lastModifiedBy>
  <dcterms:created xsi:type="dcterms:W3CDTF">2026-10-22T22:44:43.791Z</dcterms:created>
</cp:coreProperties>
</file>