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17.3.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привлечение к ответственности за неисполнение распоряжения судьи или судебного пристава по обеспечению установленного порядка деятельности судов</w:t>
      </w:r>
    </w:p>
    <w:p>
      <w:pPr>
        <w:spacing w:after="120"/>
        <w:ind w:firstLine="709"/>
      </w:pPr>
      <w:r>
        <w:rPr>
          <w:sz w:val="24"/>
        </w:rPr>
        <w:t xml:space="preserve">1. Неисполнение законного распоряжения судьи о прекращении действий, нарушающих установленные в суде правила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27.01.2023 N 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27.01.2023 N 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1 или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27.01.2023 N 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17.3</dc:title>
  <dc:creator>АРБИТРАЖ! · arbi.ru</dc:creator>
  <cp:lastModifiedBy>АРБИТРАЖ!</cp:lastModifiedBy>
  <dcterms:created xsi:type="dcterms:W3CDTF">2026-10-22T22:27:52.251Z</dcterms:created>
</cp:coreProperties>
</file>