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18.20. КоАП РФ</w:t>
      </w:r>
    </w:p>
    <w:p>
      <w:pPr>
        <w:spacing w:after="120"/>
        <w:ind w:firstLine="709"/>
      </w:pPr>
      <w:r>
        <w:rPr>
          <w:sz w:val="24"/>
        </w:rPr>
        <w:t xml:space="preserve">- Иностранный гражданин обжалует привлечение к ответственности за нарушение срока обращения за выдачей патента</w:t>
      </w:r>
    </w:p>
    <w:p>
      <w:pPr>
        <w:spacing w:after="120"/>
        <w:ind w:firstLine="709"/>
      </w:pPr>
      <w:r>
        <w:rPr>
          <w:sz w:val="24"/>
        </w:rPr>
        <w:t xml:space="preserve">Нарушение иностранным гражданином или лицом без гражданства срока обращения за выдачей патента, если такой срок установлен в соответствии с федеральным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пятнадцати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18.20</dc:title>
  <dc:creator>АРБИТРАЖ! · arbi.ru</dc:creator>
  <cp:lastModifiedBy>АРБИТРАЖ!</cp:lastModifiedBy>
  <dcterms:created xsi:type="dcterms:W3CDTF">2026-10-22T20:03:26.004Z</dcterms:created>
</cp:coreProperties>
</file>