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130-ФЗ)</w:t>
      </w:r>
    </w:p>
    <w:p>
      <w:pPr>
        <w:spacing w:after="120"/>
        <w:ind w:firstLine="709"/>
      </w:pPr>
      <w:r>
        <w:rPr>
          <w:sz w:val="24"/>
        </w:rPr>
        <w:t xml:space="preserve">Неисполнение решения сформированного по решению Президента Российской Федерации на федеральном уровне коллегиального органа , координирующего и организующего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терроризму, которое принято в пределах компетенции указанного коллегиального органа,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одного года до трех лет; на юридических лиц - от трехсот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19.5.1</dc:title>
  <dc:creator>АРБИТРАЖ! · arbi.ru</dc:creator>
  <cp:lastModifiedBy>АРБИТРАЖ!</cp:lastModifiedBy>
  <dcterms:created xsi:type="dcterms:W3CDTF">2026-10-22T21:10:34.332Z</dcterms:created>
</cp:coreProperties>
</file>