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19.7.3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05.04.2021 N 76-ФЗ)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19.7.3. КоАП РФ</w:t>
      </w:r>
    </w:p>
    <w:p>
      <w:pPr>
        <w:spacing w:after="120"/>
        <w:ind w:firstLine="709"/>
      </w:pPr>
      <w:r>
        <w:rPr>
          <w:sz w:val="24"/>
        </w:rPr>
        <w:t xml:space="preserve">- Организация оспаривает привлечение к ответственности по ст. 19.7.3 КоАП РФ за непредставление информации в Банк России</w:t>
      </w:r>
    </w:p>
    <w:p>
      <w:pPr>
        <w:spacing w:after="120"/>
        <w:ind w:firstLine="709"/>
      </w:pPr>
      <w:r>
        <w:rPr>
          <w:sz w:val="24"/>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части 2 настоящей статьи, если эти действия (бездействие) не содержат признаков уголовно наказуемого деяния,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pPr>
        <w:spacing w:after="120"/>
        <w:ind w:firstLine="709"/>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19.7.3</dc:title>
  <dc:creator>АРБИТРАЖ! · arbi.ru</dc:creator>
  <cp:lastModifiedBy>АРБИТРАЖ!</cp:lastModifiedBy>
  <dcterms:created xsi:type="dcterms:W3CDTF">2026-10-22T17:06:26.133Z</dcterms:created>
</cp:coreProperties>
</file>