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20.08.2004 N 118-ФЗ)</w:t>
      </w:r>
    </w:p>
    <w:p>
      <w:pPr>
        <w:spacing w:after="120"/>
        <w:ind w:firstLine="709"/>
      </w:pPr>
      <w:r>
        <w:rPr>
          <w:sz w:val="24"/>
        </w:rPr>
        <w:t xml:space="preserve">1 . Дача заведомо ложного заключения экспертом при осуществлении государственного контроля (надзора) и муниципального контроля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экспертом по аккредитации, техническим экспертом заведомо ложных и (или) недостоверных сведений, содержащихся в экспертном заключении, акте выездной экспертизы, акте экспертизы,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23.06.2014 N 160-ФЗ)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19.26</dc:title>
  <dc:creator>АРБИТРАЖ! · arbi.ru</dc:creator>
  <cp:lastModifiedBy>АРБИТРАЖ!</cp:lastModifiedBy>
  <dcterms:created xsi:type="dcterms:W3CDTF">2026-10-22T20:12:25.564Z</dcterms:created>
</cp:coreProperties>
</file>