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06.11.2011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оспаривает привлечение к ответственности за невыполнение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спецтехники и имущества гражданской обороны</w:t>
      </w:r>
    </w:p>
    <w:p>
      <w:pPr>
        <w:spacing w:after="120"/>
        <w:ind w:firstLine="709"/>
      </w:pPr>
      <w:r>
        <w:rPr>
          <w:sz w:val="24"/>
        </w:rPr>
        <w:t xml:space="preserve">1. Невыполнение установленных федеральными законами и иными нормативными правовыми актами Российской Федерации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специальной техники и имущества гражданской обороны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действий или вследствие этих действий,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20.7</dc:title>
  <dc:creator>АРБИТРАЖ! · arbi.ru</dc:creator>
  <cp:lastModifiedBy>АРБИТРАЖ!</cp:lastModifiedBy>
  <dcterms:created xsi:type="dcterms:W3CDTF">2026-10-22T20:05:22.657Z</dcterms:created>
</cp:coreProperties>
</file>