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06.11.2011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20.7.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оспаривает привлечение к ответственности за невыполнение специальных условий (правил) эксплуатации технических систем управления гражданской обороны и объектов гражданской обороны, использования и содержания систем оповещения, средств индивидуальной защиты, другой спецтехники и имущества гражданской обороны</w:t>
      </w:r>
    </w:p>
    <w:p>
      <w:pPr>
        <w:spacing w:after="120"/>
        <w:ind w:firstLine="709"/>
      </w:pPr>
      <w:r>
        <w:rPr>
          <w:sz w:val="24"/>
        </w:rPr>
        <w:t xml:space="preserve">1. Невыполнение установленных федеральными законами и иными нормативными правовыми актами Российской Федерации специальных условий (правил) эксплуатации технических систем управления гражданской обороны и объектов гражданской обороны, использования и содержания систем оповещения, средств индивидуальной защиты, другой специальной техники и имущества гражданской обороны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Невыполнение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ведении военных действий или вследствие этих действий,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20.7</dc:title>
  <dc:creator>АРБИТРАЖ! · arbi.ru</dc:creator>
  <cp:lastModifiedBy>АРБИТРАЖ!</cp:lastModifiedBy>
  <dcterms:created xsi:type="dcterms:W3CDTF">2026-10-22T20:12:57.303Z</dcterms:created>
</cp:coreProperties>
</file>