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227-ФЗ)</w:t>
      </w:r>
    </w:p>
    <w:p>
      <w:pPr>
        <w:spacing w:after="120"/>
        <w:ind w:firstLine="709"/>
      </w:pPr>
      <w:r>
        <w:rPr>
          <w:sz w:val="24"/>
        </w:rPr>
        <w:t xml:space="preserve">Нарушение требований к оборудованию инженерно-техническими средствами охраны важных государственных объектов, специальных грузов, сооружений на коммуникациях, подлежащих охране войсками национальной гвардии Российской Федерации, руководителями указанных объектов, руководителями и должностными лицами организаций, важные государственные объекты и (или) специальные грузы, сооружения на коммуникациях которых подлежат охране войсками национальной гвардии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20.34</dc:title>
  <dc:creator>АРБИТРАЖ! · arbi.ru</dc:creator>
  <cp:lastModifiedBy>АРБИТРАЖ!</cp:lastModifiedBy>
  <dcterms:created xsi:type="dcterms:W3CDTF">2026-10-22T11:37:02.149Z</dcterms:created>
</cp:coreProperties>
</file>