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22.3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упразднения указанных в главе 23 настоящего Кодекса или в законе субъекта Российской Федерации органа, учреждения, их структурных подразделений или территориальных органов,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судьи.</w:t>
      </w:r>
    </w:p>
    <w:p>
      <w:pPr>
        <w:spacing w:after="120"/>
        <w:ind w:firstLine="709"/>
      </w:pPr>
      <w:r>
        <w:rPr>
          <w:sz w:val="24"/>
        </w:rPr>
        <w:t xml:space="preserve">2. В случае преобразования, иной реорганизации либо переподчинения указанных в главе 23 настоящего Кодекса или в законе субъекта Российской Федерации органа, учреждения,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орган, учреждение, их структурные подразделения или территориальные органы, которым переданы указанные функции.</w:t>
      </w:r>
    </w:p>
    <w:p>
      <w:pPr>
        <w:spacing w:after="120"/>
        <w:ind w:firstLine="709"/>
      </w:pPr>
      <w:r>
        <w:rPr>
          <w:sz w:val="24"/>
        </w:rPr>
        <w:t xml:space="preserve">3. В случае изменения наименований указанных в главе 23 настоящего Кодекса или в законе субъекта Российской Федерации органа, учреждения, их структурных подразделений или территориальных органов, должности должностного лица должностные лица этого органа, учреждения, их структурных подразделений или территориальных органов продолжают осуществлять полномочия, связанные с рассмотрением дел об административных правонарушениях, до внесения в настоящий Кодекс или в закон субъекта Российской Федерации соответствующих изменений.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22.3</dc:title>
  <dc:creator>АРБИТРАЖ! · arbi.ru</dc:creator>
  <cp:lastModifiedBy>АРБИТРАЖ!</cp:lastModifiedBy>
  <dcterms:created xsi:type="dcterms:W3CDTF">2026-10-22T23:27:47.424Z</dcterms:created>
</cp:coreProperties>
</file>