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08.12.2010 N 347-ФЗ)</w:t>
      </w:r>
    </w:p>
    <w:p>
      <w:pPr>
        <w:spacing w:after="120"/>
        <w:ind w:firstLine="709"/>
      </w:pPr>
      <w:r>
        <w:rPr>
          <w:sz w:val="24"/>
        </w:rPr>
        <w:t xml:space="preserve">1. Федеральные органы исполнительной власти, осуществляющие государственный надзор в области уничтожения химического оружия, рассматривают дела об административных правонарушениях, предусмотренных статьей 9.20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осуществляющих государственный надзор в области уничтожения химического оружия,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федеральных органов исполнительной власти, осуществляющих государственный надзор в области уничтожения химического оружия,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23.76</dc:title>
  <dc:creator>АРБИТРАЖ! · arbi.ru</dc:creator>
  <cp:lastModifiedBy>АРБИТРАЖ!</cp:lastModifiedBy>
  <dcterms:created xsi:type="dcterms:W3CDTF">2026-10-22T20:03:31.016Z</dcterms:created>
</cp:coreProperties>
</file>