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166-ФЗ)</w:t>
      </w:r>
    </w:p>
    <w:p>
      <w:pPr>
        <w:spacing w:after="120"/>
        <w:ind w:firstLine="709"/>
      </w:pPr>
      <w:r>
        <w:rPr>
          <w:sz w:val="24"/>
        </w:rPr>
        <w:t xml:space="preserve">1. Не допускается внепроцессуальное обращение к судье, в производстве которого находится дело об административном правонарушении, либо к председателю суда, его заместителю, председателю судебного состава или председателю судебной коллегии по делам об административных правонарушениях, находящимся в производстве суда.</w:t>
      </w:r>
    </w:p>
    <w:p>
      <w:pPr>
        <w:spacing w:after="120"/>
        <w:ind w:firstLine="709"/>
      </w:pPr>
      <w:r>
        <w:rPr>
          <w:sz w:val="24"/>
        </w:rPr>
        <w:t xml:space="preserve">2. 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судье, в производстве которого находится дело об административном правонарушении, либо председателю суда, его заместителю, председателю судебного состава или председателю судебной коллегии по делам об административных правонарушениях, находящимся в производстве суда,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"Интернет" и не является основанием для проведения процессуальных действий или принятия процессуальных решений по делам об административных правонарушениях.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24.3.1</dc:title>
  <dc:creator>АРБИТРАЖ! · arbi.ru</dc:creator>
  <cp:lastModifiedBy>АРБИТРАЖ!</cp:lastModifiedBy>
  <dcterms:created xsi:type="dcterms:W3CDTF">2026-10-22T11:37:25.132Z</dcterms:created>
</cp:coreProperties>
</file>