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24.4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24.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производстве по делу об административном правонарушении, имеют право заявлять ходатайства, подлежащие обязательному рассмотрению судьей, органом, должностным лицом, в производстве которых находится данное дело.</w:t>
      </w:r>
    </w:p>
    <w:p>
      <w:pPr>
        <w:spacing w:after="120"/>
        <w:ind w:firstLine="709"/>
      </w:pPr>
      <w:r>
        <w:rPr>
          <w:sz w:val="24"/>
        </w:rPr>
        <w:t xml:space="preserve">2. Ходатайство заявляется в письменной форме и подлежит немедленному рассмотрению. Решение об отказе в удовлетворении ходатайства выносится судьей, органом, должностным лицом, в производстве которых находится дело об административном правонарушении, в виде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24.4</dc:title>
  <dc:creator>АРБИТРАЖ! · arbi.ru</dc:creator>
  <cp:lastModifiedBy>АРБИТРАЖ!</cp:lastModifiedBy>
  <dcterms:created xsi:type="dcterms:W3CDTF">2026-10-22T21:55:44.100Z</dcterms:created>
</cp:coreProperties>
</file>