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24.10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24. Общие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26.06.2026 N 197-ФЗ)</w:t>
      </w:r>
    </w:p>
    <w:p>
      <w:pPr>
        <w:spacing w:after="120"/>
        <w:ind w:firstLine="709"/>
      </w:pPr>
      <w:r>
        <w:rPr>
          <w:sz w:val="24"/>
        </w:rPr>
        <w:t xml:space="preserve">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наказания по статье (части статьи) главы 12 настоящего Кодекса по тому же факту совершения противоправных действий (бездействия) выносит определение об истребовании материалов дела об административном правонарушении, предусмотренном главой 12 настоящего Кодекса.</w:t>
      </w:r>
    </w:p>
    <w:p>
      <w:pPr>
        <w:spacing w:after="120"/>
        <w:ind w:firstLine="709"/>
      </w:pPr>
      <w:r>
        <w:rPr>
          <w:sz w:val="24"/>
        </w:rPr>
        <w:t xml:space="preserve">2. В определении об истребовании материалов дела об административном правонарушении, предусмотренном главой 12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должность, фамилия, имя, отчество судьи, должностного лица, вынесших постановление по делу об административном правонарушении, адреса указанных лица, судьи, дата и место рассмотрения дела, а также могут быть указаны иные сведения, позволяющие идентифицировать дело об административном правонарушении.</w:t>
      </w:r>
    </w:p>
    <w:p>
      <w:pPr>
        <w:spacing w:after="120"/>
        <w:ind w:firstLine="709"/>
      </w:pPr>
      <w:r>
        <w:rPr>
          <w:sz w:val="24"/>
        </w:rPr>
        <w:t xml:space="preserve">3. Материалы дела об административном правонарушении, указанном в части 2 настоящей статьи, направляются судье, который вынес определение об их истребовании, в срок не позднее трех дней со дня получения данного определения.</w:t>
      </w:r>
    </w:p>
    <w:p>
      <w:pPr>
        <w:spacing w:after="120"/>
        <w:ind w:firstLine="709"/>
      </w:pPr>
      <w:r>
        <w:rPr>
          <w:sz w:val="24"/>
        </w:rPr>
        <w:t xml:space="preserve">4. Дело об административном правонарушении, предусмотренном главой 12 настоящего Кодекса, материалы которого истребованы в порядке, предусмотренном частью 1 настоящей статьи, рассматривается (пересматривается) судьей, вынесшим определение об истребовании материалов указанного дела.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24.10</dc:title>
  <dc:creator>АРБИТРАЖ! · arbi.ru</dc:creator>
  <cp:lastModifiedBy>АРБИТРАЖ!</cp:lastModifiedBy>
  <dcterms:created xsi:type="dcterms:W3CDTF">2026-10-22T20:07:34.969Z</dcterms:created>
</cp:coreProperties>
</file>