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качестве переводчика может быть привлечено любое не заинтересованное в исходе дела совершеннолетнее лицо, владеющее языками или навыками сурдоперевода (осуществляющее сурдоперевод или тифлосурдоперевод), необходимыми для перевода или сурдоперевода при производстве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01.12.2014 N 419-ФЗ)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Переводчик назначается судьей, органом, должностным лицом, в производстве которых находится дело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3. Переводчик обязан явиться по вызову судьи, органа, должностного лица, в производстве которых находится дело об административном правонарушении, выполнить полно и точно порученный ему перевод и удостоверить верность перевода своей подписью.</w:t>
      </w:r>
    </w:p>
    <w:p>
      <w:pPr>
        <w:spacing w:after="120"/>
        <w:ind w:firstLine="709"/>
      </w:pPr>
      <w:r>
        <w:rPr>
          <w:sz w:val="24"/>
        </w:rPr>
        <w:t xml:space="preserve">4. Переводчик предупреждается об административной ответственности за выполнение заведомо неправильного перевода .</w:t>
      </w:r>
    </w:p>
    <w:p>
      <w:pPr>
        <w:spacing w:after="120"/>
        <w:ind w:firstLine="709"/>
      </w:pPr>
      <w:r>
        <w:rPr>
          <w:sz w:val="24"/>
        </w:rPr>
        <w:t xml:space="preserve">5. За отказ или за уклонение от исполнения обязанностей, предусмотренных частью 3 настоящей статьи, переводчик несет административную ответственность, предусмотренную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25.10</dc:title>
  <dc:creator>АРБИТРАЖ! · arbi.ru</dc:creator>
  <cp:lastModifiedBy>АРБИТРАЖ!</cp:lastModifiedBy>
  <dcterms:created xsi:type="dcterms:W3CDTF">2026-10-22T11:06:02.502Z</dcterms:created>
</cp:coreProperties>
</file>