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возбуждать производство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2) участвовать в рассмотрении дела об административном правонарушении, представлять доказательства, заявлять ходатайства, давать заключения по вопросам, возникающим во время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приносить протест на постановление по делу об административном правонарушении независимо от участия в деле, а также совершать иные предусмотренные федеральным законом действия.</w:t>
      </w:r>
    </w:p>
    <w:p>
      <w:pPr>
        <w:spacing w:after="120"/>
        <w:ind w:firstLine="709"/>
      </w:pPr>
      <w:r>
        <w:rPr>
          <w:sz w:val="24"/>
        </w:rPr>
        <w:t xml:space="preserve">2. Прокурор извещается о месте и времени рассмотрения дела об административном правонарушении, совершенном несовершеннолетним, а также дела об административном правонарушении, возбужденного по инициативе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25.11</dc:title>
  <dc:creator>АРБИТРАЖ! · arbi.ru</dc:creator>
  <cp:lastModifiedBy>АРБИТРАЖ!</cp:lastModifiedBy>
  <dcterms:created xsi:type="dcterms:W3CDTF">2026-10-22T08:02:32.796Z</dcterms:created>
</cp:coreProperties>
</file>