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предусмотренных статьей 25.12 настоящего Кодекса обстоятельств, исключающих возможность участия лица в качестве защитника, представителя, специалиста, эксперта или переводчика в производстве по делу об административном правонарушении, указанное лицо подлежит отводу.</w:t>
      </w:r>
    </w:p>
    <w:p>
      <w:pPr>
        <w:spacing w:after="120"/>
        <w:ind w:firstLine="709"/>
      </w:pPr>
      <w:r>
        <w:rPr>
          <w:sz w:val="24"/>
        </w:rPr>
        <w:t xml:space="preserve">2. Заявление о самоотводе или об отводе подается судье, органу, должностному лицу, в производстве которых находится дело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3. Рассмотрев заявление о самоотводе или об отводе, судья, орган, должностное лицо, в производстве которых находится дело об административном правонарушении, выносят определение об удовлетворении заявления либо об отказе в его удовлетворении. В случае отказа в удовлетворении заявления об отводе подача повторного заявления об отводе тем же лицом и по тем же основаниям не допускается.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25.13</dc:title>
  <dc:creator>АРБИТРАЖ! · arbi.ru</dc:creator>
  <cp:lastModifiedBy>АРБИТРАЖ!</cp:lastModifiedBy>
  <dcterms:created xsi:type="dcterms:W3CDTF">2026-10-22T21:11:19.551Z</dcterms:created>
</cp:coreProperties>
</file>