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делу об административном правонарушении выяснению подлежат:</w:t>
      </w:r>
    </w:p>
    <w:p>
      <w:pPr>
        <w:spacing w:after="120"/>
        <w:ind w:firstLine="709"/>
      </w:pPr>
      <w:r>
        <w:rPr>
          <w:sz w:val="24"/>
        </w:rPr>
        <w:t xml:space="preserve">1) наличие события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2) лицо, совершившее противоправные действия (бездействие), за которые настоящим Кодексом или законом субъекта Российской Федерации предусмотрена административная ответственность;</w:t>
      </w:r>
    </w:p>
    <w:p>
      <w:pPr>
        <w:spacing w:after="120"/>
        <w:ind w:firstLine="709"/>
      </w:pPr>
      <w:r>
        <w:rPr>
          <w:sz w:val="24"/>
        </w:rPr>
        <w:t xml:space="preserve">3) виновность лица в совершении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4) обстоятельства , смягчающие административную ответственность, и обстоятельства , отягчающие административную ответственность;</w:t>
      </w:r>
    </w:p>
    <w:p>
      <w:pPr>
        <w:spacing w:after="120"/>
        <w:ind w:firstLine="709"/>
      </w:pPr>
      <w:r>
        <w:rPr>
          <w:sz w:val="24"/>
        </w:rPr>
        <w:t xml:space="preserve">5) характер и размер ущерба, причиненного административным правонарушением;</w:t>
      </w:r>
    </w:p>
    <w:p>
      <w:pPr>
        <w:spacing w:after="120"/>
        <w:ind w:firstLine="709"/>
      </w:pPr>
      <w:r>
        <w:rPr>
          <w:sz w:val="24"/>
        </w:rPr>
        <w:t xml:space="preserve">6) обстоятельства , исключающие производство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7)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26.1</dc:title>
  <dc:creator>АРБИТРАЖ! · arbi.ru</dc:creator>
  <cp:lastModifiedBy>АРБИТРАЖ!</cp:lastModifiedBy>
  <dcterms:created xsi:type="dcterms:W3CDTF">2026-10-22T21:12:55.139Z</dcterms:created>
</cp:coreProperties>
</file>