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 административном задержании составляется протокол, в котором указываются дата и место его составления, должность, фамилия и инициалы лица, составившего протокол, сведения о задержанном лице, время, место и мотивы задержания.</w:t>
      </w:r>
    </w:p>
    <w:p>
      <w:pPr>
        <w:spacing w:after="120"/>
        <w:ind w:firstLine="709"/>
      </w:pPr>
      <w:r>
        <w:rPr>
          <w:sz w:val="24"/>
        </w:rPr>
        <w:t xml:space="preserve">2. Протокол об административном задержании подписывается должностным лицом, его составившим, и задержанным лицом. В случае, если задержанное лицо отказывается подписать протокол, в протоколе об административном задержании делается соответствующая запись. Копия протокола об административном задержании вручается задержанному лицу по его просьбе.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27.4</dc:title>
  <dc:creator>АРБИТРАЖ! · arbi.ru</dc:creator>
  <cp:lastModifiedBy>АРБИТРАЖ!</cp:lastModifiedBy>
  <dcterms:created xsi:type="dcterms:W3CDTF">2026-10-22T22:55:35.174Z</dcterms:created>
</cp:coreProperties>
</file>