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Изъятые вещи подлежат оценке в случае, если:</w:t>
      </w:r>
    </w:p>
    <w:p>
      <w:pPr>
        <w:spacing w:after="120"/>
        <w:ind w:firstLine="709"/>
      </w:pPr>
      <w:r>
        <w:rPr>
          <w:sz w:val="24"/>
        </w:rPr>
        <w:t xml:space="preserve">нормой об ответственности за административное правонарушение предусмотрено назначение административного наказания в виде административного штрафа, исчисляемого в величине, кратной стоимости изъятых вещей;</w:t>
      </w:r>
    </w:p>
    <w:p>
      <w:pPr>
        <w:spacing w:after="120"/>
        <w:ind w:firstLine="709"/>
      </w:pPr>
      <w:r>
        <w:rPr>
          <w:sz w:val="24"/>
        </w:rPr>
        <w:t xml:space="preserve">изъятые вещи подвергаются быстрой порче и направляются на реализацию или уничтожение;</w:t>
      </w:r>
    </w:p>
    <w:p>
      <w:pPr>
        <w:spacing w:after="120"/>
        <w:ind w:firstLine="709"/>
      </w:pPr>
      <w:r>
        <w:rPr>
          <w:sz w:val="24"/>
        </w:rPr>
        <w:t xml:space="preserve">изъятые из оборота в соответствии с законодательством Российской Федерации этиловый спирт, алкогольная и спиртосодержащая продукция подлежат уничтожению;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древесина и (или) полученная из нее продукция в виде необработанных лесоматериалов, изъятые при производстве по делам об административных правонарушениях, предусмотренных статьей 8.28 настоящего Кодекса, передаются для хранения, реализации, утилизации или уничтожения.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288-ФЗ)</w:t>
      </w:r>
    </w:p>
    <w:p>
      <w:pPr>
        <w:spacing w:after="120"/>
        <w:ind w:firstLine="709"/>
      </w:pPr>
      <w:r>
        <w:rPr>
          <w:sz w:val="24"/>
        </w:rPr>
        <w:t xml:space="preserve">2. Стоимость изъятых вещей определяется на основании государственных регулируемых цен в случае, если таковые установлены. В остальных случаях стоимость изъятых вещей, за исключением изъятых товаров для личного пользования, перемещаемых физическими лицами через таможенную границу Евразийского экономического союза, в отношении которых используется таможенная стоимость, определенная в соответствии с главой 37 Таможенного кодекса Евразийского экономического союза, определяется на основании их рыночной стоимости. В случае необходимости стоимость изъятых вещей определяется на основании заключения эксперта.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30.12.2012 N 316-ФЗ , от 29.12.2025 N 560-ФЗ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Пересчет иностранной валюты, изъятой в качестве предмета административного правонарушения,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27.11</dc:title>
  <dc:creator>АРБИТРАЖ! · arbi.ru</dc:creator>
  <cp:lastModifiedBy>АРБИТРАЖ!</cp:lastModifiedBy>
  <dcterms:created xsi:type="dcterms:W3CDTF">2026-10-22T20:06:49.904Z</dcterms:created>
</cp:coreProperties>
</file>