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09.05.2005 N 45-ФЗ)</w:t>
      </w:r>
    </w:p>
    <w:p>
      <w:pPr>
        <w:spacing w:after="120"/>
        <w:ind w:firstLine="709"/>
      </w:pPr>
      <w:r>
        <w:rPr>
          <w:sz w:val="24"/>
        </w:rPr>
        <w:t xml:space="preserve">1. Утратил силу с 1 января 2011 года. - Федеральный закон от 23.07.2010 N 171-ФЗ.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Срок временного запрета деятельности исчисляется с момента фактического прекращения деятельности филиалов, представительств, структурных подразделений юридического лица, производственных участков, а также эксплуатации агрегатов, объектов, зданий или сооружений, осуществления отдельных видов деятельности (работ), оказания услуг.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27.17</dc:title>
  <dc:creator>АРБИТРАЖ! · arbi.ru</dc:creator>
  <cp:lastModifiedBy>АРБИТРАЖ!</cp:lastModifiedBy>
  <dcterms:created xsi:type="dcterms:W3CDTF">2026-10-22T09:49:13.663Z</dcterms:created>
</cp:coreProperties>
</file>