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Судья, член коллегиального органа, должностное лицо, на рассмотрение которых передано дело об административном правонарушении, не могут рассматривать данное дело в случае, если это лицо:</w:t>
      </w:r>
    </w:p>
    <w:p>
      <w:pPr>
        <w:spacing w:after="120"/>
        <w:ind w:firstLine="709"/>
      </w:pPr>
      <w:r>
        <w:rPr>
          <w:sz w:val="24"/>
        </w:rPr>
        <w:t xml:space="preserve">1)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представителя;</w:t>
      </w:r>
    </w:p>
    <w:p>
      <w:pPr>
        <w:spacing w:after="120"/>
        <w:ind w:firstLine="709"/>
      </w:pPr>
      <w:r>
        <w:rPr>
          <w:sz w:val="24"/>
        </w:rPr>
        <w:t xml:space="preserve">2) лично, прямо или косвенно заинтересовано в разрешении дела.</w:t>
      </w:r>
    </w:p>
    <w:p>
      <w:pPr>
        <w:spacing w:after="120"/>
        <w:ind w:firstLine="709"/>
      </w:pPr>
      <w:r>
        <w:rPr>
          <w:sz w:val="24"/>
        </w:rPr>
        <w:t xml:space="preserve">2. Наличие информации о внепроцессуальном обращении, поступившем судье по находящемуся в его производстве делу об административном правонарушении, само по себе не может рассматриваться в качестве основания для отвода судьи.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02.07.2013 N 166-ФЗ)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29.2</dc:title>
  <dc:creator>АРБИТРАЖ! · arbi.ru</dc:creator>
  <cp:lastModifiedBy>АРБИТРАЖ!</cp:lastModifiedBy>
  <dcterms:created xsi:type="dcterms:W3CDTF">2026-10-22T11:37:14.062Z</dcterms:created>
</cp:coreProperties>
</file>