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23.12.2010 N 381-ФЗ)</w:t>
      </w:r>
    </w:p>
    <w:p>
      <w:pPr>
        <w:spacing w:after="120"/>
        <w:ind w:firstLine="709"/>
      </w:pPr>
      <w:r>
        <w:rPr>
          <w:sz w:val="24"/>
        </w:rPr>
        <w:t xml:space="preserve">1. Судья, орган, должностное лицо, вынесшие постановление, определение по делу об административном правонарушении, по заявлению лиц, указанных в статьях 25.1 - 25.5.1 , 25.11 настоящего Кодекса, судебного пристава-исполнителя, органа, должностного лица, исполняющих постановление, определение по делу об административном правонарушении, или по своей инициативе вправе исправить допущенные в постановлении, определении описки, опечатки и арифметические ошибки без изменения содержания постановления,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Исправление описок, опечаток и арифметических ошибок в постановлении, решении, принятых по результатам рассмотрения жалоб, протестов на постановление, решение по делу об административном правонарушении, производится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Исправление описки, опечатки или арифметической ошибки производится в виде определения.</w:t>
      </w:r>
    </w:p>
    <w:p>
      <w:pPr>
        <w:spacing w:after="120"/>
        <w:ind w:firstLine="709"/>
      </w:pPr>
      <w:r>
        <w:rPr>
          <w:sz w:val="24"/>
        </w:rPr>
        <w:t xml:space="preserve">4. Копия определения об исправлениях, внесенных в постановление, определение по делу об административном правонарушении, копия определения об исправлениях, внесенных в постановление, решение, принятые по результатам рассмотрения жалоб, протестов на постановление, решение по делу об административном правонарушении, в течение трех дней со дня вынесения соответствующего определения направляются лицам, указанным в статьях 25.1 - 25.5.1 , 25.11 настоящего Кодекса, судебному приставу-исполнителю, органу, должностному лицу, исполняющим постановление, определение по делу об административном правонарушении, в случае подачи ими соответствующего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Копия вынесенного судьей определения об исправлениях, внесенных в постановление по делу об административном правонарушении либо определения, указанные в пункте 4 части 1 статьи 29.4 , пункте 3 части 2 статьи 29.9 настоящего Кодекса, направляется 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протокол, в течение трех дней со дня вынесения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29.12.1</dc:title>
  <dc:creator>АРБИТРАЖ! · arbi.ru</dc:creator>
  <cp:lastModifiedBy>АРБИТРАЖ!</cp:lastModifiedBy>
  <dcterms:created xsi:type="dcterms:W3CDTF">2026-10-22T10:50:08.190Z</dcterms:created>
</cp:coreProperties>
</file>