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орган, должностное лицо, рассматривающие дело об административном правонарушении, при установлении причин административного правонарушения и условий, способствовавших его совершению, вносят в соответствующие организации и соответствующим должностным лицам представление о принятии мер по устранению указанных причин и условий.</w:t>
      </w:r>
    </w:p>
    <w:p>
      <w:pPr>
        <w:spacing w:after="120"/>
        <w:ind w:firstLine="709"/>
      </w:pPr>
      <w:r>
        <w:rPr>
          <w:sz w:val="24"/>
        </w:rPr>
        <w:t xml:space="preserve">2. Организации и должностные лица обязаны рассмотреть представление об устранении причин и условий, способствовавших совершению административного правонарушения, в течение месяца со дня его получения и сообщить о принятых мерах судье, в орган, должностному лицу, внесшим представление.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29.13</dc:title>
  <dc:creator>АРБИТРАЖ! · arbi.ru</dc:creator>
  <cp:lastModifiedBy>АРБИТРАЖ!</cp:lastModifiedBy>
  <dcterms:created xsi:type="dcterms:W3CDTF">2026-10-22T12:10:35.256Z</dcterms:created>
</cp:coreProperties>
</file>