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31.2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Постановление по делу об административном правонарушении обязательно для исполнения всеми органами государственной власти, органами местного самоуправления, должностными лицами, гражданами и их объединениями, юридическими лицами.</w:t>
      </w:r>
    </w:p>
    <w:p>
      <w:pPr>
        <w:spacing w:after="120"/>
        <w:ind w:firstLine="709"/>
      </w:pPr>
      <w:r>
        <w:rPr>
          <w:sz w:val="24"/>
        </w:rPr>
        <w:t xml:space="preserve">2. Постановление по делу об административном правонарушении подлежит исполнению в полном объеме с момента его вступления в законную силу, за исключением случаев, предусмотренных частями 1.3 - 1.3-3 статьи 32.2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22.12.2014 N 437-ФЗ , от 23.06.2020 N 187-ФЗ , от 06.03.2022 N 41-ФЗ , от 14.07.2022 N 290-ФЗ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31.2</dc:title>
  <dc:creator>АРБИТРАЖ! · arbi.ru</dc:creator>
  <cp:lastModifiedBy>АРБИТРАЖ!</cp:lastModifiedBy>
  <dcterms:created xsi:type="dcterms:W3CDTF">2026-10-22T21:11:43.272Z</dcterms:created>
</cp:coreProperties>
</file>