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Постановление по делу об административном правонарушении вступает в законную силу:</w:t>
      </w:r>
    </w:p>
    <w:p>
      <w:pPr>
        <w:spacing w:after="120"/>
        <w:ind w:firstLine="709"/>
      </w:pPr>
      <w:r>
        <w:rPr>
          <w:sz w:val="24"/>
        </w:rPr>
        <w:t xml:space="preserve">1) после истечения срока 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опротестовано, за исключением случаев, установленных пунктом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после истечения срока , установленного для обжалования решения по жалобе, протесту, если указанное решение не было обжаловано или опротестовано, за исключением случаев, если решением отменяется вынесенное постановление;</w:t>
      </w:r>
    </w:p>
    <w:p>
      <w:pPr>
        <w:spacing w:after="120"/>
        <w:ind w:firstLine="709"/>
      </w:pPr>
      <w:r>
        <w:rPr>
          <w:sz w:val="24"/>
        </w:rPr>
        <w:t xml:space="preserve">3) немедленно после вынесения не подлежащего обжалованию решения по жалобе, протесту, за исключением случаев, если решением отменяется вынесенное постановление;</w:t>
      </w:r>
    </w:p>
    <w:p>
      <w:pPr>
        <w:spacing w:after="120"/>
        <w:ind w:firstLine="709"/>
      </w:pPr>
      <w:r>
        <w:rPr>
          <w:sz w:val="24"/>
        </w:rPr>
        <w:t xml:space="preserve">4)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правонарушения, предусмотренного статьей 11.23 , 11.26 , 11.27 или 11.29 либо главой 12 настоящего Кодекса, в случае его совершения с использованием транспортного средства, зарегистрированного в иностранном государстве,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правонарушения, предусмотренного статьей 13.14.1 , 13.15 , 13.36 , 13.37 , 13.48 , 17.13 или 19.34 , частью 3 , 4 или 5 статьи 20.1 либо статьей 20.3.1 , 20.3.2 , 20.3.3 , 20.3.4 , 20.29 или 20.33 настоящего Кодекса, либо административного правонарушения, выразившегося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04.08.2023 N 425-ФЗ; в ред. Федерального закона от 10.06.2026 N 168-ФЗ)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31.1</dc:title>
  <dc:creator>АРБИТРАЖ! · arbi.ru</dc:creator>
  <cp:lastModifiedBy>АРБИТРАЖ!</cp:lastModifiedBy>
  <dcterms:created xsi:type="dcterms:W3CDTF">2026-10-22T14:50:26.879Z</dcterms:created>
</cp:coreProperties>
</file>