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по делу об административном правонарушении приводится в исполнение уполномоченными на то органом, должностным лицом в порядке, установленном настоящим Кодексом, другими федеральными законами и принимаемыми в соответствии с ними постановлениями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самостоятельно.</w:t>
      </w:r>
    </w:p>
    <w:p>
      <w:pPr>
        <w:spacing w:after="120"/>
        <w:ind w:firstLine="709"/>
      </w:pPr>
      <w:r>
        <w:rPr>
          <w:sz w:val="24"/>
        </w:rPr>
        <w:t xml:space="preserve">3. В случае неясности способа и порядка исполнения постановления по делу об административном правонарушении орган, должностное лицо, приводящие указанное постановление в исполнение, а также лицо, в отношении которого оно было вынесено, вправе обратиться в суд, орган или к должностному лицу, вынесшим постановление, с заявлением о разъяснении способа и порядка его исполнения.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02.10.2007 N 225-ФЗ)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31.4</dc:title>
  <dc:creator>АРБИТРАЖ! · arbi.ru</dc:creator>
  <cp:lastModifiedBy>АРБИТРАЖ!</cp:lastModifiedBy>
  <dcterms:created xsi:type="dcterms:W3CDTF">2026-10-22T22:45:26.713Z</dcterms:created>
</cp:coreProperties>
</file>