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31.9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21.04.2011 N 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Течение срока давности, предусмотренного частью 1 настоящей статьи, прерывается в случае, если лицо, привлеченное к административной ответственности, уклоняется от исполнения постановления о назначении административного наказания. Исчисление срока давности в этом случае возобновляется со дня обнаружения указанного лица либо его вещей, доходов, на которые в соответствии с постановлением о назначении административного наказания может быть обращено административное взыскание.</w:t>
      </w:r>
    </w:p>
    <w:p>
      <w:pPr>
        <w:spacing w:after="120"/>
        <w:ind w:firstLine="709"/>
      </w:pPr>
      <w:r>
        <w:rPr>
          <w:sz w:val="24"/>
        </w:rPr>
        <w:t xml:space="preserve">3. В случае отсрочки или приостановления исполнения постановления о назначении административного наказания в соответствии со статьями 31.5 , 31.6 , 31.8 настоящего Кодекса течение срока давности приостанавливается до истечения срока отсрочки или срока приостановления.</w:t>
      </w:r>
    </w:p>
    <w:p>
      <w:pPr>
        <w:spacing w:after="120"/>
        <w:ind w:firstLine="709"/>
      </w:pPr>
      <w:r>
        <w:rPr>
          <w:sz w:val="24"/>
        </w:rPr>
        <w:t xml:space="preserve">4. В случае рассрочки исполнения постановления о назначении административного наказания течение срока давности продлевается на срок рассрочки.</w:t>
      </w:r>
    </w:p>
    <w:p>
      <w:pPr>
        <w:spacing w:after="120"/>
        <w:ind w:firstLine="709"/>
      </w:pPr>
      <w:r>
        <w:rPr>
          <w:sz w:val="24"/>
        </w:rPr>
        <w:t xml:space="preserve">5. Течение срока давности исполнения постановления о назначении административного наказания по статье (части статьи) главы 12 настоящего Кодекса приостанавливается со дня вынесения определения о приостановлении исполнения постановления о назначении административного наказания, указанного в части 4 или 5 статьи 31.6 настоящего Кодекса. Течение срока давности исполнения постановления о назначении административного наказания по статье (части статьи) главы 12 настоящего Кодекса возобновляется в случае вынесения определения о возобновлении исполнения постановления о назначении административного наказания, указанного в части 8 статьи 31.6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26.06.2026 N 197-ФЗ)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31.9</dc:title>
  <dc:creator>АРБИТРАЖ! · arbi.ru</dc:creator>
  <cp:lastModifiedBy>АРБИТРАЖ!</cp:lastModifiedBy>
  <dcterms:created xsi:type="dcterms:W3CDTF">2026-10-22T15:27:55.831Z</dcterms:created>
</cp:coreProperties>
</file>