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Постановление об административном выдворении за пределы Российской Федерации иностранных граждан или лиц без гражданства исполняется:</w:t>
      </w:r>
    </w:p>
    <w:p>
      <w:pPr>
        <w:spacing w:after="120"/>
        <w:ind w:firstLine="709"/>
      </w:pPr>
      <w:r>
        <w:rPr>
          <w:sz w:val="24"/>
        </w:rPr>
        <w:t xml:space="preserve">1) пограничными органами - при совершении административных правонарушений, предусмотренных частью 2 статьи 18.1 , частью 1.1 статьи 18.2 и частью 2 статьи 18.4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федеральным органом исполнительной власти, уполномоченным на осуществление функций по обеспечению установленного порядка деятельности судов, исполнению судебных актов, актов иных органов и должностных лиц, - при назначении судьей, органом,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Федерации, за исключением административных правонарушений, предусмотренных частью 2 статьи 18.1 и частью 2 статьи 18.4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2 ст. 32.9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документов, удостоверяющих его личность, денежных средств для приобретения проездных документов, а также ходатайства иностранного гражданина о приведении постановления к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3 ст. 32.9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Ходатайство подается в суд по месту нахождения специального учреждения, в которое помещен иностранный гражданин, и рассматривается судьей в пятидневный срок со дня его поступления.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32.9</dc:title>
  <dc:creator>АРБИТРАЖ! · arbi.ru</dc:creator>
  <cp:lastModifiedBy>АРБИТРАЖ!</cp:lastModifiedBy>
  <dcterms:created xsi:type="dcterms:W3CDTF">2026-10-22T20:03:38.527Z</dcterms:created>
</cp:coreProperties>
</file>