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Конституция РФ, ст. 47</w:t>
      </w:r>
    </w:p>
    <w:p>
      <w:pPr>
        <w:spacing w:after="120"/>
        <w:ind w:firstLine="709"/>
      </w:pPr>
      <w:r>
        <w:rPr>
          <w:sz w:val="24"/>
        </w:rPr>
        <w:t xml:space="preserve">Акт: Конституция Российской Федерации № —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информации, publication.pravo.gov.ru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Никто не может быть лишён права на рассмотрение его дела в том суде и тем судьёй, к подсудности которых оно отнесено законом.</w:t>
      </w:r>
    </w:p>
    <w:p>
      <w:pPr>
        <w:spacing w:after="120"/>
        <w:ind w:firstLine="709"/>
      </w:pPr>
      <w:r>
        <w:rPr>
          <w:sz w:val="24"/>
        </w:rPr>
        <w:t xml:space="preserve">2. Обвиняемый в совершении преступления имеет право на рассмотрение его дела судом с участием присяжных заседателей в случаях, предусмотренных федеральным законом.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Конституция РФ, ст. 47</dc:title>
  <dc:creator>АРБИТРАЖ! · arbi.ru</dc:creator>
  <cp:lastModifiedBy>АРБИТРАЖ!</cp:lastModifiedBy>
  <dcterms:created xsi:type="dcterms:W3CDTF">2026-10-20T01:14:43.365Z</dcterms:created>
</cp:coreProperties>
</file>