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49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Каждый обвиняемый в совершении преступления считается невиновным, пока его виновность не будет доказана в предусмотренном федеральным законом порядке и установлена вступившим в законную силу приговором суда.</w:t>
      </w:r>
    </w:p>
    <w:p>
      <w:pPr>
        <w:spacing w:after="120"/>
        <w:ind w:firstLine="709"/>
      </w:pPr>
      <w:r>
        <w:rPr>
          <w:sz w:val="24"/>
        </w:rPr>
        <w:t xml:space="preserve">2. Обвиняемый не обязан доказывать свою невиновность.</w:t>
      </w:r>
    </w:p>
    <w:p>
      <w:pPr>
        <w:spacing w:after="120"/>
        <w:ind w:firstLine="709"/>
      </w:pPr>
      <w:r>
        <w:rPr>
          <w:sz w:val="24"/>
        </w:rPr>
        <w:t xml:space="preserve">3. Неустранимые сомнения в виновности лица толкуются в пользу обвиняемого.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49</dc:title>
  <dc:creator>АРБИТРАЖ! · arbi.ru</dc:creator>
  <cp:lastModifiedBy>АРБИТРАЖ!</cp:lastModifiedBy>
  <dcterms:created xsi:type="dcterms:W3CDTF">2026-10-20T01:14:17.865Z</dcterms:created>
</cp:coreProperties>
</file>