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56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действия.</w:t>
      </w:r>
    </w:p>
    <w:p>
      <w:pPr>
        <w:spacing w:after="120"/>
        <w:ind w:firstLine="709"/>
      </w:pPr>
      <w:r>
        <w:rPr>
          <w:sz w:val="24"/>
        </w:rPr>
        <w:t xml:space="preserve">2. Чрезвычайное положение на всей территории Российской Федерации и в её отдельных местностях может вводиться при наличии обстоятельств и в порядке, установленных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3. Не подлежат ограничению права и свободы, предусмотренные статьями 20, 21, 23 (часть 1), 24, 28, 34 (часть 1), 40 (часть 1), 46–54 Конституции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56</dc:title>
  <dc:creator>АРБИТРАЖ! · arbi.ru</dc:creator>
  <cp:lastModifiedBy>АРБИТРАЖ!</cp:lastModifiedBy>
  <dcterms:created xsi:type="dcterms:W3CDTF">2026-10-20T01:14:18.871Z</dcterms:created>
</cp:coreProperties>
</file>