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118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Правосудие в Российской Федерации осуществляется только судом.</w:t>
      </w:r>
    </w:p>
    <w:p>
      <w:pPr>
        <w:spacing w:after="120"/>
        <w:ind w:firstLine="709"/>
      </w:pPr>
      <w:r>
        <w:rPr>
          <w:sz w:val="24"/>
        </w:rPr>
        <w:t xml:space="preserve">2. Судебная власть осуществляется посредством конституционного, гражданского, арбитражного, административного и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Судебная система Российской Федерации устанавливается Конституцией Российской Федерации и федеральным конституционным законом. Создание чрезвычайных судов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118</dc:title>
  <dc:creator>АРБИТРАЖ! · arbi.ru</dc:creator>
  <cp:lastModifiedBy>АРБИТРАЖ!</cp:lastModifiedBy>
  <dcterms:created xsi:type="dcterms:W3CDTF">2026-10-20T01:14:17.617Z</dcterms:created>
</cp:coreProperties>
</file>