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Конституция РФ, ст. 120</w:t>
      </w:r>
    </w:p>
    <w:p>
      <w:pPr>
        <w:spacing w:after="120"/>
        <w:ind w:firstLine="709"/>
      </w:pPr>
      <w:r>
        <w:rPr>
          <w:sz w:val="24"/>
        </w:rPr>
        <w:t xml:space="preserve">Акт: Конституция Российской Федерации № —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информации, publication.pravo.gov.ru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Судьи независимы и подчиняются только Конституции Российской Федерации и федеральному закону.</w:t>
      </w:r>
    </w:p>
    <w:p>
      <w:pPr>
        <w:spacing w:after="120"/>
        <w:ind w:firstLine="709"/>
      </w:pPr>
      <w:r>
        <w:rPr>
          <w:sz w:val="24"/>
        </w:rPr>
        <w:t xml:space="preserve">2. Суд, установив при рассмотрении дела несоответствие акта государственного или иного органа закону, принимает решение в соответствии с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Конституция РФ, ст. 120</dc:title>
  <dc:creator>АРБИТРАЖ! · arbi.ru</dc:creator>
  <cp:lastModifiedBy>АРБИТРАЖ!</cp:lastModifiedBy>
  <dcterms:created xsi:type="dcterms:W3CDTF">2026-10-20T01:18:41.061Z</dcterms:created>
</cp:coreProperties>
</file>