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Конституция РФ, ст. 22</w:t>
      </w:r>
    </w:p>
    <w:p>
      <w:pPr>
        <w:spacing w:after="120"/>
        <w:ind w:firstLine="709"/>
      </w:pPr>
      <w:r>
        <w:rPr>
          <w:sz w:val="24"/>
        </w:rPr>
        <w:t xml:space="preserve">Акт: Конституция Российской Федерации № —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информации, publication.pravo.gov.ru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Каждый имеет право на свободу и личную неприкосновенность.</w:t>
      </w:r>
    </w:p>
    <w:p>
      <w:pPr>
        <w:spacing w:after="120"/>
        <w:ind w:firstLine="709"/>
      </w:pPr>
      <w:r>
        <w:rPr>
          <w:sz w:val="24"/>
        </w:rPr>
        <w:t xml:space="preserve">2. Арест, заключение под стражу и содержание под стражей допускаются только по судебному решению. До судебного решения лицо не может быть подвергнуто задержанию на срок более 48 часов.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Конституция РФ, ст. 22</dc:title>
  <dc:creator>АРБИТРАЖ! · arbi.ru</dc:creator>
  <cp:lastModifiedBy>АРБИТРАЖ!</cp:lastModifiedBy>
  <dcterms:created xsi:type="dcterms:W3CDTF">2026-10-20T01:12:55.534Z</dcterms:created>
</cp:coreProperties>
</file>