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23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Каждый имеет право на неприкосновенность частной жизни, личную и семейную тайну, защиту своей чести и доброго имени.</w:t>
      </w:r>
    </w:p>
    <w:p>
      <w:pPr>
        <w:spacing w:after="120"/>
        <w:ind w:firstLine="709"/>
      </w:pPr>
      <w:r>
        <w:rPr>
          <w:sz w:val="24"/>
        </w:rPr>
        <w:t xml:space="preserve">2. Каждый имеет право на тайну переписки, телефонных переговоров, почтовых, телеграфных и иных сообщений. Ограничение этого права допускается только на основании судебного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23</dc:title>
  <dc:creator>АРБИТРАЖ! · arbi.ru</dc:creator>
  <cp:lastModifiedBy>АРБИТРАЖ!</cp:lastModifiedBy>
  <dcterms:created xsi:type="dcterms:W3CDTF">2026-10-20T01:13:27.770Z</dcterms:created>
</cp:coreProperties>
</file>