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145.2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23.11.2024 N 399-ФЗ)</w:t>
      </w:r>
    </w:p>
    <w:p>
      <w:pPr>
        <w:spacing w:after="120"/>
        <w:ind w:firstLine="709"/>
      </w:pPr>
      <w:r>
        <w:rPr>
          <w:sz w:val="24"/>
        </w:rPr>
        <w:t xml:space="preserve">1. Организация, получившая статус участника Военного инновационного технополиса "Эра" Министерства обороны Российской Федерации в соответствии с Федеральным законом от 14 июля 2022 года N 253-ФЗ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 (далее также - участник Технополиса) и созданная начиная с 1 января календарного года, предшествующего календарному году, в котором этой организацией подана заявка на внесение сведений в реестр участников Технополиса, имеет право на освобождение от исполнения обязанностей налогоплательщика, связанных с исчислением и уплатой налога (далее в настоящей статье - освобождение), в порядке и на условиях,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настоящей статьей, участник Технополиса имеет право на освобождение в течение десяти лет со дня получения статуса участника Технополиса.</w:t>
      </w:r>
    </w:p>
    <w:p>
      <w:pPr>
        <w:spacing w:after="120"/>
        <w:ind w:firstLine="709"/>
      </w:pPr>
      <w:r>
        <w:rPr>
          <w:sz w:val="24"/>
        </w:rPr>
        <w:t xml:space="preserve">Участник Технополиса имеет право на освобождение при условии, что он не применяет упрощенной системы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Предусмотренное настоящей статьей освобождение не применяется в отношении обязанностей, возникающих в связи с ввозом на территорию Российской Федерации и иные территории, находящиеся под ее юрисдикцией, товаров, подлежащих налогообложению в соответствии с подпунктом 4 пункта 1 статьи 146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Участник Технополиса вправе использовать право на освобождение с 1-го числа месяца, следующего за месяцем, в котором был получен статус участника Технополиса, при условии представления в налоговый орган по месту своего учета не позднее 20-го числа месяца, следующего за месяцем, с которого участник Технополиса начал использовать право на освобождение, уведомления об использовании права на освобождение от исполнения обязанностей налогоплательщика, связанных с исчислением и уплатой налога (далее в настоящей статье - уведомление об использовании права на освобождение), в электронной форме по телекоммуникационным каналам связи или через личный кабинет налогоплательщика либо по почте заказным письмом.</w:t>
      </w:r>
    </w:p>
    <w:p>
      <w:pPr>
        <w:spacing w:after="120"/>
        <w:ind w:firstLine="709"/>
      </w:pPr>
      <w:r>
        <w:rPr>
          <w:sz w:val="24"/>
        </w:rPr>
        <w:t xml:space="preserve">3. Участник Технополиса, использующий право на освобождение, вправе отказаться от освобождения, направив уведомление об отказе от освобождения от исполнения обязанностей налогоплательщика, связанных с исчислением и уплатой налога, в налоговый орган по месту своего учета в срок не позднее 1-го числа налогового периода, с которого участник Технополиса намерен отказаться от освобождения.</w:t>
      </w:r>
    </w:p>
    <w:p>
      <w:pPr>
        <w:spacing w:after="120"/>
        <w:ind w:firstLine="709"/>
      </w:pPr>
      <w:r>
        <w:rPr>
          <w:sz w:val="24"/>
        </w:rPr>
        <w:t xml:space="preserve">Такой отказ возможен только в отношении всех осуществляемых участником Технополиса операций.</w:t>
      </w:r>
    </w:p>
    <w:p>
      <w:pPr>
        <w:spacing w:after="120"/>
        <w:ind w:firstLine="709"/>
      </w:pPr>
      <w:r>
        <w:rPr>
          <w:sz w:val="24"/>
        </w:rPr>
        <w:t xml:space="preserve">Участник Технополиса, отказавшийся от освобождения или утративший право на освобождение, теряет право на повторное использование права на освобождение.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Организация, получившая статус участника до 01.01.2025, представляет расчет за период, начинающийся с 1-го числа года, в котором она начала использовать право на освобождение от исполнения обязанностей налогоплательщика в соответствии со ст. 145.2 (в ред. ФЗ от 23.11.2024 N 399-ФЗ).</w:t>
      </w:r>
    </w:p>
    <w:p>
      <w:pPr>
        <w:spacing w:after="120"/>
        <w:ind w:firstLine="709"/>
      </w:pPr>
      <w:r>
        <w:rPr>
          <w:sz w:val="24"/>
        </w:rPr>
        <w:t xml:space="preserve">4. Участник Технополиса представляет в налоговый орган по месту своего учета не позднее 20 января года, следующего за истекшим календарным годом, в котором применялось освобождение, в электронной форме расчет совокупного размера полученной выручки, определенного нарастающим итогом начиная с 1-го числа года, в котором получен статус участника Технополиса.</w:t>
      </w:r>
    </w:p>
    <w:p>
      <w:pPr>
        <w:spacing w:after="120"/>
        <w:ind w:firstLine="709"/>
      </w:pPr>
      <w:r>
        <w:rPr>
          <w:sz w:val="24"/>
        </w:rPr>
        <w:t xml:space="preserve">В случае, если совокупный размер выручки, рассчитанный в соответствии с настоящим пунктом, превысил 1 миллиард рублей до истечения календарного года, последний расчет совокупного размера полученной выручки представляется не позднее 20-го числа месяца, следующего за налоговым периодом, в котором произошло указанное превышение совокупного размера полученной выручки.</w:t>
      </w:r>
    </w:p>
    <w:p>
      <w:pPr>
        <w:spacing w:after="120"/>
        <w:ind w:firstLine="709"/>
      </w:pPr>
      <w:r>
        <w:rPr>
          <w:sz w:val="24"/>
        </w:rPr>
        <w:t xml:space="preserve">5. Участник Технополиса утрачивает право на освобождение в случае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утрачен статус участника Технополиса - со дня утраты такого статуса;</w:t>
      </w:r>
    </w:p>
    <w:p>
      <w:pPr>
        <w:spacing w:after="120"/>
        <w:ind w:firstLine="709"/>
      </w:pPr>
      <w:r>
        <w:rPr>
          <w:sz w:val="24"/>
        </w:rPr>
        <w:t xml:space="preserve">2) совокупный размер полученной участником Технополиса выручки, рассчитанный в порядке, предусмотренном пунктом 4 настоящей статьи, превысил 1 миллиард рублей - с 1-го числа налогового периода, следующего за налоговым периодом, в котором произошло превышение указанного размера выручки;</w:t>
      </w:r>
    </w:p>
    <w:p>
      <w:pPr>
        <w:spacing w:after="120"/>
        <w:ind w:firstLine="709"/>
      </w:pPr>
      <w:r>
        <w:rPr>
          <w:sz w:val="24"/>
        </w:rPr>
        <w:t xml:space="preserve">3) участником Технополиса не представлен в установленный срок расчет совокупного размера полученной выручки, предусмотренный пунктом 4 настоящей статьи, или представлен расчет, содержащий недостоверные сведения, - с 1-го числа календарного года, по истечении которого не представлен расчет совокупного размера полученной выручки в соответствии с пунктом 4 настоящей статьи или представлен расчет, содержащий недостоверные сведения.</w:t>
      </w:r>
    </w:p>
    <w:p>
      <w:pPr>
        <w:spacing w:after="120"/>
        <w:ind w:firstLine="709"/>
      </w:pPr>
      <w:r>
        <w:rPr>
          <w:sz w:val="24"/>
        </w:rPr>
        <w:t xml:space="preserve">6. Суммы налога, принятые участником Технополиса к вычету в соответствии со статьями 171 и 172 настоящего Кодекса до использования им права на освобождение в соответствии с настоящей статьей, по товарам (работам, услугам), в том числе по основным средствам и нематериальным активам, имущественным правам, приобретенным для осуществления операций, признаваемых объектами налогообложения в соответствии с настоящей главой, но не использованным для указанных операций,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вычетов.</w:t>
      </w:r>
    </w:p>
    <w:p>
      <w:pPr>
        <w:spacing w:after="120"/>
        <w:ind w:firstLine="709"/>
      </w:pPr>
      <w:r>
        <w:rPr>
          <w:sz w:val="24"/>
        </w:rPr>
        <w:t xml:space="preserve">Суммы налога, уплаченные по товарам (работам, услугам), в том числе по основным средствам и нематериальным активам, имущественным правам, приобретенным участником Технополиса, утратившим право на освобождение в соответствии с настоящей статьей, до утраты указанного права и использованным им после утраты указанного права при осуществлении операций, признаваемых объектами налогообложения в соответствии с настоящей главой, принимаются к вычету в порядке, установленном статьями 171 и 172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Форма и формат уведомлений, предусмотренных настоящей статьей, форма и формат расчета совокупного размера выручки, порядок представления такого расчета в налоговый орган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145.2</dc:title>
  <dc:creator>АРБИТРАЖ! · arbi.ru</dc:creator>
  <cp:lastModifiedBy>АРБИТРАЖ!</cp:lastModifiedBy>
  <dcterms:created xsi:type="dcterms:W3CDTF">2026-10-22T18:55:18.587Z</dcterms:created>
</cp:coreProperties>
</file>