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153</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21. Налог на добавленную стоимость</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Путеводитель по налогам. Вопросы применения ст. 153 НК РФ</w:t>
      </w:r>
    </w:p>
    <w:p>
      <w:pPr>
        <w:spacing w:after="120"/>
        <w:ind w:firstLine="709"/>
      </w:pPr>
      <w:r>
        <w:rPr>
          <w:sz w:val="24"/>
        </w:rPr>
        <w:t xml:space="preserve">- Определяется ли база по НДС при передаче имущественных прав на нежилые помещения (кроме гаражей и машино-мест) как разница между ценой их реализации и ценой приобретения</w:t>
      </w:r>
    </w:p>
    <w:p>
      <w:pPr>
        <w:spacing w:after="120"/>
        <w:ind w:firstLine="709"/>
      </w:pPr>
      <w:r>
        <w:rPr>
          <w:sz w:val="24"/>
        </w:rPr>
        <w:t xml:space="preserve">- Все вопросы по ст. 153 НК РФ</w:t>
      </w:r>
    </w:p>
    <w:p>
      <w:pPr>
        <w:spacing w:after="120"/>
        <w:ind w:firstLine="709"/>
      </w:pPr>
      <w:r>
        <w:rPr>
          <w:sz w:val="24"/>
        </w:rPr>
        <w:t xml:space="preserve">1. Налоговая база при реализации товаров (работ, услуг) определяется налогоплательщиком в соответствии с настоящей главой в зависимости от особенностей реализации произведенных им или приобретенных на стороне товаров (работ, услуг).</w:t>
      </w:r>
    </w:p>
    <w:p>
      <w:pPr>
        <w:spacing w:after="120"/>
        <w:ind w:firstLine="709"/>
      </w:pPr>
      <w:r>
        <w:rPr>
          <w:sz w:val="24"/>
        </w:rPr>
        <w:t xml:space="preserve">При передаче товаров (выполнении работ, оказании услуг) для собственных нужд, признаваемых объектом налогообложения в соответствии со статьей 146 настоящего Кодекса, налоговая база определяется налогоплательщиком в соответствии с настоящей главой.</w:t>
      </w:r>
    </w:p>
    <w:p>
      <w:pPr>
        <w:spacing w:after="120"/>
        <w:ind w:firstLine="709"/>
      </w:pPr>
      <w:r>
        <w:rPr>
          <w:sz w:val="24"/>
        </w:rPr>
        <w:t xml:space="preserve">При ввозе товаров на территорию Российской Федерации и иные территории, находящиеся под ее юрисдикцией, налоговая база определяется налогоплательщиком в соответствии с настоящей главой и таможенным законодательством Таможенного союза и законодательством Российской Федерации о таможенном деле.</w:t>
      </w:r>
    </w:p>
    <w:p>
      <w:pPr>
        <w:spacing w:after="120"/>
        <w:ind w:firstLine="709"/>
      </w:pPr>
      <w:r>
        <w:rPr>
          <w:sz w:val="24"/>
        </w:rPr>
        <w:t xml:space="preserve">(в ред. Федерального закона от 27.11.2010 N 306-ФЗ)</w:t>
      </w:r>
    </w:p>
    <w:p>
      <w:pPr>
        <w:spacing w:after="120"/>
        <w:ind w:firstLine="709"/>
      </w:pPr>
      <w:r>
        <w:rPr>
          <w:sz w:val="24"/>
        </w:rPr>
        <w:t xml:space="preserve">(см. текст в предыдущей редакции )</w:t>
      </w:r>
    </w:p>
    <w:p>
      <w:pPr>
        <w:spacing w:after="120"/>
        <w:ind w:firstLine="709"/>
      </w:pPr>
      <w:r>
        <w:rPr>
          <w:sz w:val="24"/>
        </w:rPr>
        <w:t xml:space="preserve">При применении налогоплательщиками при реализации (передаче, выполнении, оказании для собственных нужд) товаров (работ, услуг) различных налоговых ставок налоговая база определяется отдельно по каждому виду товаров (работ, услуг), облагаемых по разным ставкам. При применении одинаковых ставок налога налоговая база определяется суммарно по всем видам операций, облагаемых по этой ставке.</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При передаче имущественных прав налоговая база определяется с учетом особенностей, установленных настоящей главой.</w:t>
      </w:r>
    </w:p>
    <w:p>
      <w:pPr>
        <w:spacing w:after="120"/>
        <w:ind w:firstLine="709"/>
      </w:pPr>
      <w:r>
        <w:rPr>
          <w:sz w:val="24"/>
        </w:rPr>
        <w:t xml:space="preserve">(абзац введен Федеральным законом от 22.07.2005 N 119-ФЗ)</w:t>
      </w:r>
    </w:p>
    <w:p>
      <w:pPr>
        <w:spacing w:after="120"/>
        <w:ind w:firstLine="709"/>
      </w:pPr>
      <w:r>
        <w:rPr>
          <w:sz w:val="24"/>
        </w:rPr>
        <w:t xml:space="preserve">2. При определении налоговой базы выручка от реализации товаров (работ, услуг), передачи имущественных прав определяется исходя из всех доходов налогоплательщика, связанных с расчетами по оплате указанных товаров (работ, услуг), имущественных прав, полученных им в денежной и (или) натуральной формах, включая оплату ценными бумагами.</w:t>
      </w:r>
    </w:p>
    <w:p>
      <w:pPr>
        <w:spacing w:after="120"/>
        <w:ind w:firstLine="709"/>
      </w:pPr>
      <w:r>
        <w:rPr>
          <w:sz w:val="24"/>
        </w:rPr>
        <w:t xml:space="preserve">(в ред. Федерального закона от 22.07.2005 N 119-ФЗ)</w:t>
      </w:r>
    </w:p>
    <w:p>
      <w:pPr>
        <w:spacing w:after="120"/>
        <w:ind w:firstLine="709"/>
      </w:pPr>
      <w:r>
        <w:rPr>
          <w:sz w:val="24"/>
        </w:rPr>
        <w:t xml:space="preserve">(см. текст в предыдущей редакции )</w:t>
      </w:r>
    </w:p>
    <w:p>
      <w:pPr>
        <w:spacing w:after="120"/>
        <w:ind w:firstLine="709"/>
      </w:pPr>
      <w:r>
        <w:rPr>
          <w:sz w:val="24"/>
        </w:rPr>
        <w:t xml:space="preserve">Указанные в настоящем пункте доходы учитываются в случае возможности их оценки и в той мере, в какой их можно оценить.</w:t>
      </w:r>
    </w:p>
    <w:p>
      <w:pPr>
        <w:spacing w:after="120"/>
        <w:ind w:firstLine="709"/>
      </w:pPr>
      <w:r>
        <w:rPr>
          <w:sz w:val="24"/>
        </w:rPr>
        <w:t xml:space="preserve">3. При определении налоговой базы выручка (расходы) налогоплательщика в иностранной валюте пересчитывается в рубли по курсу Центрального банка Российской Федерации соответственно на дату, соответствующую моменту определения налоговой базы при реализации (передаче) товаров (работ, услуг), имущественных прав, установленному статьей 167 настоящего Кодекса, или на дату фактического осуществления расходов. При этом налоговая база при реализации товаров (работ, услуг), предусмотренных пунктом 1 статьи 164 настоящего Кодекса, в случае расчетов по таким операциям в иностранной валюте определяется в рублях по курсу Центрального банка Российской Федерации на дату отгрузки (передачи) товаров (выполнения работ, оказания услуг).</w:t>
      </w:r>
    </w:p>
    <w:p>
      <w:pPr>
        <w:spacing w:after="120"/>
        <w:ind w:firstLine="709"/>
      </w:pPr>
      <w:r>
        <w:rPr>
          <w:sz w:val="24"/>
        </w:rPr>
        <w:t xml:space="preserve">(в ред. Федеральных законов от 22.07.2005 N 119-ФЗ , от 27.11.2010 N 309-ФЗ , от 19.07.2011 N 245-ФЗ )</w:t>
      </w:r>
    </w:p>
    <w:p>
      <w:pPr>
        <w:spacing w:after="120"/>
        <w:ind w:firstLine="709"/>
      </w:pPr>
      <w:r>
        <w:rPr>
          <w:sz w:val="24"/>
        </w:rPr>
        <w:t xml:space="preserve">(см. текст в предыдущей редакции )</w:t>
      </w:r>
    </w:p>
    <w:p>
      <w:pPr>
        <w:spacing w:after="120"/>
        <w:ind w:firstLine="709"/>
      </w:pPr>
      <w:r>
        <w:rPr>
          <w:sz w:val="24"/>
        </w:rPr>
        <w:t xml:space="preserve">4. Если при реализации товаров (работ, услуг), имущественных прав по договорам, обязательство об оплате которых предусмотрено в рублях в сумме, эквивалентной определенной сумме в иностранной валюте, или условных денежных единицах, моментом определения налоговой базы является день отгрузки (передачи) товаров (работ, услуг), имущественных прав, при определении налоговой базы иностранная валюта или условные денежные единицы пересчитываются в рубли по курсу Центрального банка Российской Федерации на дату отгрузки (передачи) товаров (выполнения работ, оказания услуг), передачи имущественных прав. При последующей оплате товаров (работ, услуг), имущественных прав налоговая база не корректируется. Разницы в сумме налога, возникающие у налогоплательщика-продавца при последующей оплате товаров (работ, услуг), имущественных прав, учитываются в составе внереализационных доходов в соответствии со статьей 250 настоящего Кодекса или в составе внереализационных расходов в соответствии со статьей 265 настоящего Кодекса.</w:t>
      </w:r>
    </w:p>
    <w:p>
      <w:pPr>
        <w:spacing w:after="120"/>
        <w:ind w:firstLine="709"/>
      </w:pPr>
      <w:r>
        <w:rPr>
          <w:sz w:val="24"/>
        </w:rPr>
        <w:t xml:space="preserve">(п. 4 введен Федеральным законом от 19.07.2011 N 245-ФЗ, в ред. Федерального закона от 20.04.2014 N 81-ФЗ)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153</dc:title>
  <dc:creator>АРБИТРАЖ! · arbi.ru</dc:creator>
  <cp:lastModifiedBy>АРБИТРАЖ!</cp:lastModifiedBy>
  <dcterms:created xsi:type="dcterms:W3CDTF">2026-10-22T22:36:26.320Z</dcterms:created>
</cp:coreProperties>
</file>