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155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155 НК РФ</w:t>
      </w:r>
    </w:p>
    <w:p>
      <w:pPr>
        <w:spacing w:after="120"/>
        <w:ind w:firstLine="709"/>
      </w:pPr>
      <w:r>
        <w:rPr>
          <w:sz w:val="24"/>
        </w:rPr>
        <w:t xml:space="preserve">- Определяется ли база по НДС при передаче имущественных прав на нежилые помещения (кроме гаражей и машино-мест) как разница между ценой их реализации и ценой приобретения</w:t>
      </w:r>
    </w:p>
    <w:p>
      <w:pPr>
        <w:spacing w:after="120"/>
        <w:ind w:firstLine="709"/>
      </w:pPr>
      <w:r>
        <w:rPr>
          <w:sz w:val="24"/>
        </w:rPr>
        <w:t xml:space="preserve">- Облагается ли НДС передача прав на объекты интеллектуальной собственности</w:t>
      </w:r>
    </w:p>
    <w:p>
      <w:pPr>
        <w:spacing w:after="120"/>
        <w:ind w:firstLine="709"/>
      </w:pPr>
      <w:r>
        <w:rPr>
          <w:sz w:val="24"/>
        </w:rPr>
        <w:t xml:space="preserve">- Начисляется ли НДС, если право требования реализовано по цене приобретения или с убытком</w:t>
      </w:r>
    </w:p>
    <w:p>
      <w:pPr>
        <w:spacing w:after="120"/>
        <w:ind w:firstLine="709"/>
      </w:pPr>
      <w:r>
        <w:rPr>
          <w:sz w:val="24"/>
        </w:rPr>
        <w:t xml:space="preserve">- Все вопросы по ст. 155 НК РФ</w:t>
      </w:r>
    </w:p>
    <w:p>
      <w:pPr>
        <w:spacing w:after="120"/>
        <w:ind w:firstLine="709"/>
      </w:pPr>
      <w:r>
        <w:rPr>
          <w:sz w:val="24"/>
        </w:rPr>
        <w:t xml:space="preserve">1. При уступке денежного требования, вытекающего из договора реализации товаров (работ, услуг), операции по реализации которых подлежат налогообложению (не освобождаются от налогообложения в соответствии со статьей 149 настоящего Кодекса), или при переходе указанного требования к другому лицу на основании закона налоговая база по операциям реализации указанных товаров (работ, услуг) определяется в порядке, предусмотренном статьей 154 настоящего Кодекса, если иное не предусмотрено настоящим пунктом.</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w:t>
      </w:r>
    </w:p>
    <w:p>
      <w:pPr>
        <w:spacing w:after="120"/>
        <w:ind w:firstLine="709"/>
      </w:pPr>
      <w:r>
        <w:rPr>
          <w:sz w:val="24"/>
        </w:rPr>
        <w:t xml:space="preserve">(абзац введен Федеральным законом от 19.07.2011 N 245-ФЗ)</w:t>
      </w:r>
    </w:p>
    <w:p>
      <w:pPr>
        <w:spacing w:after="120"/>
        <w:ind w:firstLine="709"/>
      </w:pPr>
      <w:r>
        <w:rPr>
          <w:sz w:val="24"/>
        </w:rPr>
        <w:t xml:space="preserve">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При передаче имущественных прав налогоплательщиками, в том числе участниками долевого строительства, на жилые дома или жилые помещения, доли в жилых домах или жилых помещениях, гаражи или машино-места налоговая база определяется как разница между стоимостью, по которой передаются имущественные права, с учетом налога и расходами на приобретение указанных прав.</w:t>
      </w:r>
    </w:p>
    <w:p>
      <w:pPr>
        <w:spacing w:after="120"/>
        <w:ind w:firstLine="709"/>
      </w:pPr>
      <w:r>
        <w:rPr>
          <w:sz w:val="24"/>
        </w:rPr>
        <w:t xml:space="preserve">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w:t>
      </w:r>
    </w:p>
    <w:p>
      <w:pPr>
        <w:spacing w:after="120"/>
        <w:ind w:firstLine="709"/>
      </w:pPr>
      <w:r>
        <w:rPr>
          <w:sz w:val="24"/>
        </w:rPr>
        <w:t xml:space="preserve">5. При передаче прав, связанных с правом заключения договора, и арендных прав налоговая база определяется в порядке, предусмотренном статьей 154 настоящего Кодекса.</w:t>
      </w:r>
    </w:p>
    <w:p>
      <w:pPr>
        <w:spacing w:after="120"/>
        <w:ind w:firstLine="709"/>
      </w:pPr>
      <w:r>
        <w:rPr>
          <w:sz w:val="24"/>
        </w:rPr>
        <w:t xml:space="preserve">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w:t>
      </w:r>
    </w:p>
    <w:p>
      <w:pPr>
        <w:spacing w:after="120"/>
        <w:ind w:firstLine="709"/>
      </w:pPr>
      <w:r>
        <w:rPr>
          <w:sz w:val="24"/>
        </w:rPr>
        <w:t xml:space="preserve">(п. 6 введен Федеральным законом от 14.07.2022 N 324-ФЗ)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155</dc:title>
  <dc:creator>АРБИТРАЖ! · arbi.ru</dc:creator>
  <cp:lastModifiedBy>АРБИТРАЖ!</cp:lastModifiedBy>
  <dcterms:created xsi:type="dcterms:W3CDTF">2026-10-22T20:21:33.228Z</dcterms:created>
</cp:coreProperties>
</file>