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162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21. Налог на добавленную стоимость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налогам. Вопросы применения ст. 162 НК РФ</w:t>
      </w:r>
    </w:p>
    <w:p>
      <w:pPr>
        <w:spacing w:after="120"/>
        <w:ind w:firstLine="709"/>
      </w:pPr>
      <w:r>
        <w:rPr>
          <w:sz w:val="24"/>
        </w:rPr>
        <w:t xml:space="preserve">- Увеличивается ли налоговая база по НДС на суммы безвозмездной финансовой помощи</w:t>
      </w:r>
    </w:p>
    <w:p>
      <w:pPr>
        <w:spacing w:after="120"/>
        <w:ind w:firstLine="709"/>
      </w:pPr>
      <w:r>
        <w:rPr>
          <w:sz w:val="24"/>
        </w:rPr>
        <w:t xml:space="preserve">- Включается ли в налоговую базу по НДС обеспечительный платеж</w:t>
      </w:r>
    </w:p>
    <w:p>
      <w:pPr>
        <w:spacing w:after="120"/>
        <w:ind w:firstLine="709"/>
      </w:pPr>
      <w:r>
        <w:rPr>
          <w:sz w:val="24"/>
        </w:rPr>
        <w:t xml:space="preserve">- Включаются ли в базу по НДС покупателя суммы выплат в виде скидок, бонусов, премий за закупку определенного объема товара</w:t>
      </w:r>
    </w:p>
    <w:p>
      <w:pPr>
        <w:spacing w:after="120"/>
        <w:ind w:firstLine="709"/>
      </w:pPr>
      <w:r>
        <w:rPr>
          <w:sz w:val="24"/>
        </w:rPr>
        <w:t xml:space="preserve">- Включаются ли в базу по НДС суммы санкций, в том числе штрафы, пени, полученные при досрочном расторжении договора</w:t>
      </w:r>
    </w:p>
    <w:p>
      <w:pPr>
        <w:spacing w:after="120"/>
        <w:ind w:firstLine="709"/>
      </w:pPr>
      <w:r>
        <w:rPr>
          <w:sz w:val="24"/>
        </w:rPr>
        <w:t xml:space="preserve">- Включаются ли в налоговую базу по НДС суммы гранта</w:t>
      </w:r>
    </w:p>
    <w:p>
      <w:pPr>
        <w:spacing w:after="120"/>
        <w:ind w:firstLine="709"/>
      </w:pPr>
      <w:r>
        <w:rPr>
          <w:sz w:val="24"/>
        </w:rPr>
        <w:t xml:space="preserve">- Включает ли покупатель в налоговую базу по НДС полученные им бонусы, премии</w:t>
      </w:r>
    </w:p>
    <w:p>
      <w:pPr>
        <w:spacing w:after="120"/>
        <w:ind w:firstLine="709"/>
      </w:pPr>
      <w:r>
        <w:rPr>
          <w:sz w:val="24"/>
        </w:rPr>
        <w:t xml:space="preserve">- Нужно ли выставлять счет-фактуру на суммы полученных штрафных санкций или неосновательного обогащения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162 НК РФ</w:t>
      </w:r>
    </w:p>
    <w:p>
      <w:pPr>
        <w:spacing w:after="120"/>
        <w:ind w:firstLine="709"/>
      </w:pPr>
      <w:r>
        <w:rPr>
          <w:sz w:val="24"/>
        </w:rPr>
        <w:t xml:space="preserve">1. Налоговая база, определенная в соответствии со статьями 153 - 158 настоящего Кодекса, увеличивается на суммы: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29.12.2000 N 166-ФЗ , от 29.05.2002 N 57-ФЗ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утратил силу. - Федеральный закон от 22.07.2005 N 119-ФЗ;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полученных за реализованные товары (работы, услуги) в виде финансовой помощи, на пополнение фондов специального назначения, в счет увеличения доходов либо иначе связанных с оплатой реализованных товаров (работ, услуг);</w:t>
      </w:r>
    </w:p>
    <w:p>
      <w:pPr>
        <w:spacing w:after="120"/>
        <w:ind w:firstLine="709"/>
      </w:pPr>
      <w:r>
        <w:rPr>
          <w:sz w:val="24"/>
        </w:rPr>
        <w:t xml:space="preserve">3) полученных в виде процента (дисконта) по полученным в счет оплаты за реализованные товары (работы, услуги) облигациям и векселям, процента по товарному кредиту в части, превышающей размер процента, рассчитанного в соответствии со ставками рефинансирования Центрального банка Российской Федерации, действовавшими в периодах, за которые производится расчет процента;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29.12.2000 N 166-ФЗ)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полученных страховых выплат по договорам страхования риска неисполнения договорных обязательств контрагентом страхователя-кредитора, если страхуемые договорные обязательства предусматривают поставку страхователем, применяющим положения пункта 5 статьи 170 настоящего Кодекса, товаров (работ, услуг), реализация которых признается объектом налогообложения в соответствии со статьей 146 настоящего Кодекса, за исключением реализации товаров (работ, услуг), указанных в пункте 1 статьи 164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19.07.2011 N 245-ФЗ , от 07.06.2013 N 131-ФЗ , от 05.04.2016 N 97-ФЗ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исключен. - Федеральный закон от 29.12.2000 N 166-ФЗ.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Положения пункта 1 настоящей статьи не применяются в отношении операций по реализации товаров (работ, услуг), которые не подлежат налогообложению (освобождаются от налогообложения), а также в отношении товаров (работ, услуг), местом реализации которых в соответствии со статьями 147 и 148 настоящего Кодекса не является территория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В налоговую базу не включаются:</w:t>
      </w:r>
    </w:p>
    <w:p>
      <w:pPr>
        <w:spacing w:after="120"/>
        <w:ind w:firstLine="709"/>
      </w:pPr>
      <w:r>
        <w:rPr>
          <w:sz w:val="24"/>
        </w:rPr>
        <w:t xml:space="preserve">1) денежные средства , полученные управляющими организациями, товариществами собственников жилья, жилищно-строительными, жилищными или иными специализированными потребительскими кооперативами, созданными в целях удовлетворения потребностей граждан в жилье и отвечающими за обслуживание внутридомовых инженерных систем, с использованием которых предоставляются коммунальные услуги, на формирование резерва на проведение текущего и капитального ремонта общего имущества в многоквартирных домах, в том числе на формирование фондов капитального ремонта общего имущества в многоквартирных домах;</w:t>
      </w:r>
    </w:p>
    <w:p>
      <w:pPr>
        <w:spacing w:after="120"/>
        <w:ind w:firstLine="709"/>
      </w:pPr>
      <w:r>
        <w:rPr>
          <w:sz w:val="24"/>
        </w:rPr>
        <w:t xml:space="preserve">2) денежные средства, полученные специализированными некоммерческими организациями, которые осуществляют деятельность, направленную на обеспечение проведения капитального ремонта общего имущества в многоквартирных домах, и созданы в соответствии с Жилищным кодексом Российской Федерации, на формирование фондов капитального ремонта общего имущества в многоквартирных домах;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01.01.2028 пп. 3 п. 3 ст. 162 утрачивает силу ( ФЗ от 23.07.2025 N 229-ФЗ).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Пп. 3 п. 3 ст. 162 распространяется на правоотношения, возникшие с 01.01.2024 (ФЗ от 23.07.2025 N 229-ФЗ ).</w:t>
      </w:r>
    </w:p>
    <w:p>
      <w:pPr>
        <w:spacing w:after="120"/>
        <w:ind w:firstLine="709"/>
      </w:pPr>
      <w:r>
        <w:rPr>
          <w:sz w:val="24"/>
        </w:rPr>
        <w:t xml:space="preserve">3) денежные средства, полученные энергосбытовой организацией, уполномоченной Правительством Российской Федерации на осуществление купли-продажи электрической энергии (мощности) для целей поставки электрической энергии (мощности) на территориях Донецкой Народной Республики, Луганской Народной Республики, Запорожской области и Херсонской области, на возмещение недополученных доходов в размере, определенном на основании актов Правительства Российской Федерации либо федерального органа исполнительной власти, осуществляющего функции по принятию нормативных правовых актов и контролю за соблюдением антимонопольного законодательства, законодательства в сфере государственного регулирования цен (тарифов) на товары (услуги).</w:t>
      </w:r>
    </w:p>
    <w:p>
      <w:pPr>
        <w:spacing w:after="120"/>
        <w:ind w:firstLine="709"/>
      </w:pPr>
      <w:r>
        <w:rPr>
          <w:sz w:val="24"/>
        </w:rPr>
        <w:t xml:space="preserve">(пп. 3 введен Федеральным законом от 23.07.2025 N 229-ФЗ)</w:t>
      </w:r>
    </w:p>
    <w:p>
      <w:pPr>
        <w:spacing w:after="120"/>
        <w:ind w:firstLine="709"/>
      </w:pPr>
      <w:r>
        <w:rPr>
          <w:sz w:val="24"/>
        </w:rPr>
        <w:t xml:space="preserve">(п. 3 в ред. Федерального закона от 25.12.2012 N 271-ФЗ)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162</dc:title>
  <dc:creator>АРБИТРАЖ! · arbi.ru</dc:creator>
  <cp:lastModifiedBy>АРБИТРАЖ!</cp:lastModifiedBy>
  <dcterms:created xsi:type="dcterms:W3CDTF">2026-10-22T20:22:55.381Z</dcterms:created>
</cp:coreProperties>
</file>