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162.1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22.07.2005 N 118-ФЗ)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162.1 НК РФ</w:t>
      </w:r>
    </w:p>
    <w:p>
      <w:pPr>
        <w:spacing w:after="120"/>
        <w:ind w:firstLine="709"/>
      </w:pPr>
      <w:r>
        <w:rPr>
          <w:sz w:val="24"/>
        </w:rPr>
        <w:t xml:space="preserve">- Нужно ли в первом налоговом периоде после реорганизации путем выделения уплатить НДС с авансов, полученных при правопреемстве</w:t>
      </w:r>
    </w:p>
    <w:p>
      <w:pPr>
        <w:spacing w:after="120"/>
        <w:ind w:firstLine="709"/>
      </w:pPr>
      <w:r>
        <w:rPr>
          <w:sz w:val="24"/>
        </w:rPr>
        <w:t xml:space="preserve">1. При реорганизации организации в форме выделения вычетам у реорганизованной (реорганизуемой) организации подлежат суммы налога, исчисленные и уплаченные ею с сумм авансовых или иных платежей в счет предстоящих поставок товаров (выполнения работ, оказания услуг), реализуемых на территории Российской Федерации, в случае перевода долга при реорганизации на правопреемника (правопреемников) по обязательствам, связанным с реализацией товаров (работ, услуг) или передачей имущественных прав.</w:t>
      </w:r>
    </w:p>
    <w:p>
      <w:pPr>
        <w:spacing w:after="120"/>
        <w:ind w:firstLine="709"/>
      </w:pPr>
      <w:r>
        <w:rPr>
          <w:sz w:val="24"/>
        </w:rPr>
        <w:t xml:space="preserve">Вычеты сумм налога, указанных в настоящем пункте, производятся в полном объеме после перевода долга на правопреемника (правопреемников) по обязательствам, связанным с реализацией товаров (работ, услуг) или передачей имущественных прав.</w:t>
      </w:r>
    </w:p>
    <w:p>
      <w:pPr>
        <w:spacing w:after="120"/>
        <w:ind w:firstLine="709"/>
      </w:pPr>
      <w:r>
        <w:rPr>
          <w:sz w:val="24"/>
        </w:rPr>
        <w:t xml:space="preserve">2. При реорганизации организации в форме выделения налоговая база правопреемника (правопреемников) увеличивается на суммы авансовых или иных платежей в счет предстоящих поставок товаров (выполнения работ, оказания услуг), полученных в порядке правопреемства от реорганизованной (реорганизуемой) организации и подлежащих учету у правопреемника (правопреемников).</w:t>
      </w:r>
    </w:p>
    <w:p>
      <w:pPr>
        <w:spacing w:after="120"/>
        <w:ind w:firstLine="709"/>
      </w:pPr>
      <w:r>
        <w:rPr>
          <w:sz w:val="24"/>
        </w:rPr>
        <w:t xml:space="preserve">3. В случае реорганизации в форме слияния, присоединения, разделения, преобразования вычетам у правопреемника (правопреемников) подлежат суммы налога, исчисленные и уплаченные реорганизованной организацией с сумм авансовых или иных платежей, полученных в счет предстоящих поставок товаров (выполнения работ, оказания услуг).</w:t>
      </w:r>
    </w:p>
    <w:p>
      <w:pPr>
        <w:spacing w:after="120"/>
        <w:ind w:firstLine="709"/>
      </w:pPr>
      <w:r>
        <w:rPr>
          <w:sz w:val="24"/>
        </w:rPr>
        <w:t xml:space="preserve">4. Вычеты суммы налога, исчисленной и уплаченной с сумм авансовых или иных платежей, предусмотренных пунктом 2 настоящей статьи, а также сумм налога, указанных в пункте 3 настоящей статьи, производятся правопреемником (правопреемниками) после даты реализации соответствующих товаров (работ, услуг) или после отражения в учете у правопреемника (правопреемников) операций в случаях расторжения или изменения условий соответствующего договора и возврата соответствующих сумм авансовых платежей, но не позднее одного года с момента такого возврата.</w:t>
      </w:r>
    </w:p>
    <w:p>
      <w:pPr>
        <w:spacing w:after="120"/>
        <w:ind w:firstLine="709"/>
      </w:pPr>
      <w:r>
        <w:rPr>
          <w:sz w:val="24"/>
        </w:rPr>
        <w:t xml:space="preserve">5. В случае реорганизации организации независимо от формы реорганизации подлежащие учету у правопреемника (правопреемников) суммы налога, предъявленные реорганизованной (реорганизуемой) организации и (или) уплаченные этой организацией при приобретении (ввозе) товаров (работ, услуг), но не предъявленные ею к вычету, подлежат вычету правопреемником (правопреемниками) этой организации в порядке, предусмотренном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Вычеты сумм налога, указанных в абзаце первом настоящего пункта, производятся правопреемником (правопреемниками) реорганизованной (реорганизуемой) организации на основании счетов-фактур (копий счетов-фактур), выставленных реорганизованной (реорганизуемой) организации, или счетов-фактур, выставленных правопреемнику (правопреемникам) продавцами при приобретении товаров (работ, услуг), а также на основании копий документов, подтверждающих фактическую уплату реорганизованной (реорганизуемой) организацией сумм налога продавцам при приобретении товаров (работ, услуг), и (или) документов, подтверждающих фактическую уплату сумм налога продавцам при приобретении товаров (работ, услуг) правопреемником (правопреемниками) этой организации.</w:t>
      </w:r>
    </w:p>
    <w:p>
      <w:pPr>
        <w:spacing w:after="120"/>
        <w:ind w:firstLine="709"/>
      </w:pPr>
      <w:r>
        <w:rPr>
          <w:sz w:val="24"/>
        </w:rPr>
        <w:t xml:space="preserve">6. В целях настоящей главы не признается оплатой товаров (работ, услуг) передача налогоплательщиком права требования правопреемнику (правопреемникам) при реорганизации организации. При переходе права требования от реорганизованной (реорганизуемой) организации к правопреемнику (правопреемникам) налоговая база определяется правопреемником (правопреемниками), получающим (получающими) право требования, в момент определения налоговой базы в соответствии с порядком, установленным статьей 167 настоящего Кодекса, с учетом положений, предусмотренных подпунктами 2 - 4 пункта 1 и пунктом 2 статьи 162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В случае реорганизации организации положения, предусмотренные подпунктами 2 и 3 пункта 5 статьи 169 настоящего Кодекса для принятия сумм налога к вычету или возмещению правопреемником (правопреемниками) реорганизованной (реорганизуемой) организации, считаются выполненными при наличии в счете-фактуре реквизитов реорганизованной (реорганизуемой) организации.</w:t>
      </w:r>
    </w:p>
    <w:p>
      <w:pPr>
        <w:spacing w:after="120"/>
        <w:ind w:firstLine="709"/>
      </w:pPr>
      <w:r>
        <w:rPr>
          <w:sz w:val="24"/>
        </w:rPr>
        <w:t xml:space="preserve">8. При передаче правопреемнику (правопреемникам) товаров (работ, услуг, имущественных прав), в том числе основных средств и нематериальных активов, при приобретении (ввозе) которых суммы налога были приняты реорганизованной (реорганизуемой) организацией к вычету в порядке, предусмотренном настоящей главой, соответствующие суммы налога не подлежат восстановлению и уплате в бюджет реорганизованной (реорганизуемой) организацией.</w:t>
      </w:r>
    </w:p>
    <w:p>
      <w:pPr>
        <w:spacing w:after="120"/>
        <w:ind w:firstLine="709"/>
      </w:pPr>
      <w:r>
        <w:rPr>
          <w:sz w:val="24"/>
        </w:rPr>
        <w:t xml:space="preserve">9. В случае реорганизации организации независимо от формы реорганизации подлежащие учету у правопреемника (правопреемников) суммы налога, которые в соответствии со статьями 176 и 176.1 настоящего Кодекса подлежат возмещению, но не были до момента завершения реорганизации возмещены реорганизованной (реорганизуемой) организацией, возмещаются правопреемнику (правопреемникам)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17.12.2009 N 318-ФЗ)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При наличии нескольких правопреемников доля каждого из правопреемников при совершении операций в соответствии с настоящей статьей определяется на основании передаточного акта или разделительного баланса.</w:t>
      </w:r>
    </w:p>
    <w:p>
      <w:pPr>
        <w:spacing w:after="120"/>
        <w:ind w:firstLine="709"/>
      </w:pPr>
      <w:r>
        <w:rPr>
          <w:sz w:val="24"/>
        </w:rPr>
        <w:t xml:space="preserve">11. В целях настоящей главы под реорганизуемой организацией понимается организация, реорганизация которой осуществляется в форме выделения, до момента завершения ее реорганизации (до даты государственной регистрации последней из вновь возникших организаций).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162.1</dc:title>
  <dc:creator>АРБИТРАЖ! · arbi.ru</dc:creator>
  <cp:lastModifiedBy>АРБИТРАЖ!</cp:lastModifiedBy>
  <dcterms:created xsi:type="dcterms:W3CDTF">2026-10-22T20:20:29.109Z</dcterms:created>
</cp:coreProperties>
</file>