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акциза (далее в настоящей главе - налогоплательщики)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организации;</w:t>
      </w:r>
    </w:p>
    <w:p>
      <w:pPr>
        <w:spacing w:after="120"/>
        <w:ind w:firstLine="709"/>
      </w:pPr>
      <w:r>
        <w:rPr>
          <w:sz w:val="24"/>
        </w:rPr>
        <w:t xml:space="preserve">2) индивидуальные предприниматели;</w:t>
      </w:r>
    </w:p>
    <w:p>
      <w:pPr>
        <w:spacing w:after="120"/>
        <w:ind w:firstLine="709"/>
      </w:pPr>
      <w:r>
        <w:rPr>
          <w:sz w:val="24"/>
        </w:rPr>
        <w:t xml:space="preserve">3) лица, признаваемые налогоплательщиками в связи с перемещением товаров через таможенную границу Евразийского экономического союза, определяемые в соответствии с правом Евразийского экономического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23.11.2015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Организации и иные лица, указанные в настоящей статье, признаются налогоплательщиками, если они совершают операции, подлежащие налогообложению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</dc:title>
  <dc:creator>АРБИТРАЖ! · arbi.ru</dc:creator>
  <cp:lastModifiedBy>АРБИТРАЖ!</cp:lastModifiedBy>
  <dcterms:created xsi:type="dcterms:W3CDTF">2026-10-22T20:22:32.885Z</dcterms:created>
</cp:coreProperties>
</file>