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186.1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Первоисточник: http://pravo.gov.ru/</w:t>
      </w:r>
    </w:p>
    <w:p>
      <w:pPr>
        <w:spacing w:after="120"/>
        <w:ind w:firstLine="709"/>
      </w:pPr>
      <w:r>
        <w:rPr>
          <w:sz w:val="24"/>
        </w:rPr>
        <w:t xml:space="preserve">Раздел: Глава 22. Акцизы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23.11.2015 N 323-ФЗ , от 22.04.2024 N 96-ФЗ )</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27.11.2010 N 306-ФЗ)</w:t>
      </w:r>
    </w:p>
    <w:p>
      <w:pPr>
        <w:spacing w:after="120"/>
        <w:ind w:firstLine="709"/>
      </w:pPr>
      <w:r>
        <w:rPr>
          <w:sz w:val="24"/>
        </w:rPr>
        <w:t xml:space="preserve">1. Обязанность по уплате акцизов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возникает со дня ввоза маркированных товаров на территорию Российской Федерации.</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Налоговой базой для обложения акцизами являются объем, количество, иные показатели ввозимых маркированных товаров в натуральном выражении, в отношении которых установлены твердые (специфические) ставки акцизов, либо стоимость ввезенных подакцизных товаров, в отношении которых установлены адвалорные ставки акцизов, либо объем ввозимых маркированных товаров в натуральном выражении для исчисления акцизов при применении твердой (специфической) налоговой ставки и расчетная стоимость ввозимых подакцизных товаров, исчисляемая исходя из максимальных розничных цен, для исчисления акцизов при применении адвалорной (в процентах) налоговой ставки в отношении товаров, для которых установлены комбинированные ставки акциза, состоящие из твердой (специфической) и адвалорной (в процентах) ставок.</w:t>
      </w:r>
    </w:p>
    <w:p>
      <w:pPr>
        <w:spacing w:after="120"/>
        <w:ind w:firstLine="709"/>
      </w:pPr>
      <w:r>
        <w:rPr>
          <w:sz w:val="24"/>
        </w:rPr>
        <w:t xml:space="preserve">Для целей исчисления акцизов по маркированным товарам под стоимостью понимается цена сделки, подлежащая уплате поставщику за товары согласно условиям договора (контракта). Стоимостью маркированных товаров, полученных по товарообменному (бартерному) договору (контракту), а также по договору (контракту) товарного кредита, является стоимость маркированных товаров, предусмотренная договором (контрактом), при отсутствии стоимости в договоре (контракте) - стоимость, указанная в товаросопроводительных документах, при отсутствии стоимости в договоре (контракте) и товаросопроводительных документах - стоимость маркированных товаров, отраженная в бухгалтерском учете.</w:t>
      </w:r>
    </w:p>
    <w:p>
      <w:pPr>
        <w:spacing w:after="120"/>
        <w:ind w:firstLine="709"/>
      </w:pPr>
      <w:r>
        <w:rPr>
          <w:sz w:val="24"/>
        </w:rPr>
        <w:t xml:space="preserve">Расчетная стоимость маркированных товаров, в отношении которых установлены комбинированные ставки акцизов, определяется в соответствии со статьей 187.1 настоящего Кодекса.</w:t>
      </w:r>
    </w:p>
    <w:p>
      <w:pPr>
        <w:spacing w:after="120"/>
        <w:ind w:firstLine="709"/>
      </w:pPr>
      <w:r>
        <w:rPr>
          <w:sz w:val="24"/>
        </w:rPr>
        <w:t xml:space="preserve">Налоговая база для исчисления акцизов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определяется на дату принятия на учет налогоплательщиком ввозимых подакцизных товаров, но не позднее даты подачи статистической декларации на маркированные товары, если статистическое декларирование по таким товарам предусмотрено правом Евразийского экономического союза и законодательством Российской Федерации о таможенном деле.</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3. Сумма акциза, подлежащая уплате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исчисляется налогоплательщиком самостоятельно по налоговым ставкам, установленным статьей 193 настоящего Кодекса, действующим на день уплаты акциза.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4. Акциз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перечисляется налогоплательщиком на счет Федерального казначейства не позднее пяти дней со дня принятия на учет ввезенных маркированных товаров.</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5. Для целей уплаты акциза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налогоплательщик обязан представить в таможенный орган следующие документы:</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1) заявление на бумажном носителе и в электронной форме по форме и форматам, утверждаемым федеральным органом исполнительной власти, уполномоченным в области таможенного дела, в количестве экземпляров, определяемом федеральным органом исполнительной власти, уполномоченным в области таможенного дела;</w:t>
      </w:r>
    </w:p>
    <w:p>
      <w:pPr>
        <w:spacing w:after="120"/>
        <w:ind w:firstLine="709"/>
      </w:pPr>
      <w:r>
        <w:rPr>
          <w:sz w:val="24"/>
        </w:rPr>
        <w:t xml:space="preserve">(в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2) транспортные (товаросопроводительные) документы, подтверждающие перемещение маркированных товаров с территории государства - члена Евразийского экономического союза на территорию Российской Федерации;</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3) документы, необходимые для подтверждения в отношении маркированных товаров статуса товаров Евразийского экономического союза;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4) счета-фактуры, оформленные в соответствии с законодательством государства - члена Евразийского экономического союза при отгрузке маркированных товаров, в случае, если их выставление (выписка) предусмотрено (предусмотрена) законодательством государства - члена Евразийского экономического союза;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5) договоры (контракты), на основании которых приобретены маркированные товары, ввезенные на территорию Российской Федерации с территории другого государства - члена Евразийского экономического союза;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6) информационное сообщение, представленное налогоплательщику одного государства - члена Евразийского экономического союза налогоплательщиком другого государства - члена Евразийского экономического союза либо налогоплательщиком государства, не являющегося членом Евразийского экономического союза, реализующим товары, ввезенные с территории другого государства - члена Евразийского экономического союза, подписанное руководителем (индивидуальным предпринимателем) и заверенное печатью организации, с указанием следующих сведений:</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номера, идентифицирующего лицо в качестве налогоплательщика государства - члена Евразийского экономического союза;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полного наименования налогоплательщика государства - члена Евразийского экономического союза;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места нахождения (места жительства) налогоплательщика государства - члена Евразийского экономического союза;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номера и даты договора (контракта) о приобретении импортируемых маркированных товаров;</w:t>
      </w:r>
    </w:p>
    <w:p>
      <w:pPr>
        <w:spacing w:after="120"/>
        <w:ind w:firstLine="709"/>
      </w:pPr>
      <w:r>
        <w:rPr>
          <w:sz w:val="24"/>
        </w:rPr>
        <w:t xml:space="preserve">номера и даты спецификации.</w:t>
      </w:r>
    </w:p>
    <w:p>
      <w:pPr>
        <w:spacing w:after="120"/>
        <w:ind w:firstLine="709"/>
      </w:pPr>
      <w:r>
        <w:rPr>
          <w:sz w:val="24"/>
        </w:rPr>
        <w:t xml:space="preserve">В случае, если налогоплательщик государства - члена Евразийского экономического союза, у которого приобретаются товары, не является собственником реализуемых товаров (является комиссионером, поверенным, агентом), сведения представляются также в отношении собственника реализуемых маркированных товаров.</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представления информационного сообщения на иностранном языке обязательно наличие перевода на русский язык.</w:t>
      </w:r>
    </w:p>
    <w:p>
      <w:pPr>
        <w:spacing w:after="120"/>
        <w:ind w:firstLine="709"/>
      </w:pPr>
      <w:r>
        <w:rPr>
          <w:sz w:val="24"/>
        </w:rPr>
        <w:t xml:space="preserve">Информационное сообщение не представляется в случае, если сведения, предусмотренные настоящим подпунктом, содержатся в договоре (контракте), указанном в подпункте 5 настоящего пункта;</w:t>
      </w:r>
    </w:p>
    <w:p>
      <w:pPr>
        <w:spacing w:after="120"/>
        <w:ind w:firstLine="709"/>
      </w:pPr>
      <w:r>
        <w:rPr>
          <w:sz w:val="24"/>
        </w:rPr>
        <w:t xml:space="preserve">7) договоры (контракты) комиссии, поручения или агентский договор (контракт) (в случаях их заключения);</w:t>
      </w:r>
    </w:p>
    <w:p>
      <w:pPr>
        <w:spacing w:after="120"/>
        <w:ind w:firstLine="709"/>
      </w:pPr>
      <w:r>
        <w:rPr>
          <w:sz w:val="24"/>
        </w:rPr>
        <w:t xml:space="preserve">8) договоры (контракты), на основании которых приобретены товары, ввезенные на территорию Российской Федерации с территории другого государства - члена Евразийского экономического союза.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6. Документы, указанные в подпунктах 2 - 8 пункта 5 настоящей статьи, могут быть представлены в виде копий, заверенных в установленном порядке.</w:t>
      </w:r>
    </w:p>
    <w:p>
      <w:pPr>
        <w:spacing w:after="120"/>
        <w:ind w:firstLine="709"/>
      </w:pPr>
      <w:r>
        <w:rPr>
          <w:sz w:val="24"/>
        </w:rPr>
        <w:t xml:space="preserve">7. В случаях неуплаты, неполной уплаты акцизов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уплаты их в более поздний срок по сравнению со сроком, установленным пунктом 4 настоящей статьи, либо в случаях несоответствия данных, заявленных таможенным органам, данным, полученным в рамках обмена информацией между налоговыми и таможенными органами государств - членов Евразийского экономического союза, таможенный орган взыскивает акцизы и пени в порядке и размерах, которые установлены законодательством Российской Федерации, а также применяет способы обеспечения уплаты таможенных платежей, пеней, установленные правом Евразийского экономического союза и законодательством Российской Федерации о таможенном деле.</w:t>
      </w:r>
    </w:p>
    <w:p>
      <w:pPr>
        <w:spacing w:after="120"/>
        <w:ind w:firstLine="709"/>
      </w:pPr>
      <w:r>
        <w:rPr>
          <w:sz w:val="24"/>
        </w:rPr>
        <w:t xml:space="preserve">(п. 7 в ред. Федерального закона от 23.11.2015 N 323-ФЗ)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186.1</dc:title>
  <dc:creator>АРБИТРАЖ! · arbi.ru</dc:creator>
  <cp:lastModifiedBy>АРБИТРАЖ!</cp:lastModifiedBy>
  <dcterms:created xsi:type="dcterms:W3CDTF">2026-10-22T06:42:28.409Z</dcterms:created>
</cp:coreProperties>
</file>