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191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ввозе подакцизных товаров (с учетом положений статьи 185 настоящего Кодекса) на территорию Российской Федерации и иные территории, находящиеся под ее юрисдикцией, налоговая база определяется: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по подакцизным товарам, в отношении которых установлены твердые (специфические) налоговые ставки (в абсолютной сумме на единицу измерения) - как объем ввозимых подакцизных товаров в натуральном выражении;</w:t>
      </w:r>
    </w:p>
    <w:p>
      <w:pPr>
        <w:spacing w:after="120"/>
        <w:ind w:firstLine="709"/>
      </w:pPr>
      <w:r>
        <w:rPr>
          <w:sz w:val="24"/>
        </w:rPr>
        <w:t xml:space="preserve">2) по подакцизным товарам, в отношении которых установлены адвалорные (в процентах) налоговые ставки, как сумма:</w:t>
      </w:r>
    </w:p>
    <w:p>
      <w:pPr>
        <w:spacing w:after="120"/>
        <w:ind w:firstLine="709"/>
      </w:pPr>
      <w:r>
        <w:rPr>
          <w:sz w:val="24"/>
        </w:rPr>
        <w:t xml:space="preserve">их таможенной стоимости;</w:t>
      </w:r>
    </w:p>
    <w:p>
      <w:pPr>
        <w:spacing w:after="120"/>
        <w:ind w:firstLine="709"/>
      </w:pPr>
      <w:r>
        <w:rPr>
          <w:sz w:val="24"/>
        </w:rPr>
        <w:t xml:space="preserve">подлежащей уплате таможенной пошлины;</w:t>
      </w:r>
    </w:p>
    <w:p>
      <w:pPr>
        <w:spacing w:after="120"/>
        <w:ind w:firstLine="709"/>
      </w:pPr>
      <w:r>
        <w:rPr>
          <w:sz w:val="24"/>
        </w:rPr>
        <w:t xml:space="preserve">3) по подакцизным товарам, в отношении которых установлены комбинированные налоговые ставки, состоящие из твердой (специфической) и адвалорной (в процентах) налоговых ставок, - как объем ввозимых подакцизных товаров в натуральном выражении для исчисления акциза при применении твердой (специфической) налоговой ставки и как расчетная стоимость ввозимых подакцизных товаров, исчисляемая исходя из максимальных розничных цен, для исчисления акциза при применении адвалорной (в процентах) налоговой ставки. Расчетная стоимость подакцизных товаров, в отношении которых установлены комбинированные ставки акциза, определяется в соответствии со статьей 187.1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26.07.2006 N 134-ФЗ)</w:t>
      </w:r>
    </w:p>
    <w:p>
      <w:pPr>
        <w:spacing w:after="120"/>
        <w:ind w:firstLine="709"/>
      </w:pPr>
      <w:r>
        <w:rPr>
          <w:sz w:val="24"/>
        </w:rPr>
        <w:t xml:space="preserve">2. Таможенная стоимость подакцизных товаров, а также подлежащая уплате таможенная пошлина определяются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Налоговая база определяется отдельно по каждой ввозимой на территорию Российской Федерации и иные территории, находящиеся под ее юрисдикцией, партии подакцизных товаров.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в составе одной партии ввозимых на территорию Российской Федерации и иные территории, находящиеся под ее юрисдикцией, подакцизных товаров присутствуют подакцизные товары, ввоз которых облагается по разным налоговым ставкам, налоговая база определяется отдельно в отношении каждой группы указанных товаров. В аналогичном порядке налоговая база определяется также в случае, если в составе партии ввозимых на территорию Российской Федерации и иные территории, находящиеся под ее юрисдикцией, подакцизных товаров присутствуют подакцизные товары, ранее вывезенные с территории Российской Федерации в соответствии с таможенной процедурой переработки вне таможенной территории.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ввозе на территорию Российской Федерации и иные территории, находящиеся под ее юрисдикцией, подакцизных товаров в качестве продуктов переработки вне таможенной территории налоговая база определяется в соответствии с положениями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Налоговая база при ввозе российских товаров, помещенных под таможенную процедуру свободной таможенной зоны , на остальную часть территории Российской Федерации и иные территории, находящиеся под ее юрисдикцией, либо при передаче их на территории особой экономической зоны лицам, не являющимся резидентами такой зоны, определяется в соответствии со статьей 187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22.07.2005 N 117-ФЗ, в ред. Федеральных законов от 30.10.2007 N 240-ФЗ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Налоговая база при ввозе на территорию Российской Федерации и иные территории, находящиеся под ее юрисдикцией, табака кальянного и табака (изделий с нагреваемым табаком), предназначенного для потребления путем нагревания, определяется с учетом особенностей, установленных соответственно пунктами 19 и 26 статьи 187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29.11.2024 N 416-ФЗ)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191</dc:title>
  <dc:creator>АРБИТРАЖ! · arbi.ru</dc:creator>
  <cp:lastModifiedBy>АРБИТРАЖ!</cp:lastModifiedBy>
  <dcterms:created xsi:type="dcterms:W3CDTF">2026-10-22T20:22:13.321Z</dcterms:created>
</cp:coreProperties>
</file>